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87" w:rsidRPr="005703D6" w:rsidRDefault="00DE6D87" w:rsidP="00DE6D87">
      <w:pPr>
        <w:widowControl w:val="0"/>
        <w:suppressAutoHyphens/>
        <w:jc w:val="both"/>
        <w:rPr>
          <w:b/>
          <w:sz w:val="16"/>
          <w:szCs w:val="16"/>
        </w:rPr>
      </w:pPr>
      <w:r w:rsidRPr="005703D6">
        <w:rPr>
          <w:b/>
          <w:sz w:val="16"/>
          <w:szCs w:val="16"/>
        </w:rPr>
        <w:t>PALAIOS, 2013, v. 28, p. 9–22</w:t>
      </w:r>
    </w:p>
    <w:p w:rsidR="00DE6D87" w:rsidRPr="005703D6" w:rsidRDefault="00DE6D87" w:rsidP="00DE6D87">
      <w:pPr>
        <w:numPr>
          <w:ilvl w:val="0"/>
          <w:numId w:val="1"/>
        </w:numPr>
        <w:tabs>
          <w:tab w:val="num" w:pos="0"/>
        </w:tabs>
        <w:suppressAutoHyphens/>
        <w:ind w:left="0" w:firstLine="0"/>
        <w:rPr>
          <w:b/>
          <w:sz w:val="16"/>
          <w:szCs w:val="16"/>
        </w:rPr>
      </w:pPr>
      <w:r w:rsidRPr="005703D6">
        <w:rPr>
          <w:b/>
          <w:sz w:val="16"/>
          <w:szCs w:val="16"/>
        </w:rPr>
        <w:t>Research Article</w:t>
      </w:r>
    </w:p>
    <w:p w:rsidR="00DE6D87" w:rsidRDefault="00DE6D87" w:rsidP="00DE6D87">
      <w:pPr>
        <w:numPr>
          <w:ilvl w:val="0"/>
          <w:numId w:val="1"/>
        </w:numPr>
        <w:tabs>
          <w:tab w:val="num" w:pos="0"/>
        </w:tabs>
        <w:suppressAutoHyphens/>
        <w:ind w:left="0" w:firstLine="0"/>
        <w:rPr>
          <w:b/>
          <w:sz w:val="16"/>
          <w:szCs w:val="16"/>
          <w:lang w:val="pt-BR"/>
        </w:rPr>
      </w:pPr>
      <w:r w:rsidRPr="005703D6">
        <w:rPr>
          <w:b/>
          <w:sz w:val="16"/>
          <w:szCs w:val="16"/>
          <w:lang w:val="pt-BR"/>
        </w:rPr>
        <w:t>DOI: 10.2110/palo.2012.p12-005r</w:t>
      </w:r>
    </w:p>
    <w:p w:rsidR="00DE6D87" w:rsidRPr="005703D6" w:rsidRDefault="00DE6D87" w:rsidP="00DE6D87">
      <w:pPr>
        <w:numPr>
          <w:ilvl w:val="0"/>
          <w:numId w:val="1"/>
        </w:numPr>
        <w:tabs>
          <w:tab w:val="num" w:pos="0"/>
        </w:tabs>
        <w:suppressAutoHyphens/>
        <w:ind w:left="0" w:firstLine="0"/>
        <w:rPr>
          <w:b/>
          <w:sz w:val="16"/>
          <w:szCs w:val="16"/>
          <w:lang w:val="pt-BR"/>
        </w:rPr>
      </w:pPr>
    </w:p>
    <w:p w:rsidR="00DE6D87" w:rsidRPr="005703D6" w:rsidRDefault="00DE6D87" w:rsidP="00DE6D87">
      <w:pPr>
        <w:pStyle w:val="Title"/>
        <w:numPr>
          <w:ilvl w:val="0"/>
          <w:numId w:val="1"/>
        </w:numPr>
        <w:tabs>
          <w:tab w:val="left" w:pos="9360"/>
        </w:tabs>
        <w:spacing w:before="0" w:after="0"/>
        <w:ind w:right="1620"/>
        <w:rPr>
          <w:rFonts w:ascii="Times New Roman" w:hAnsi="Times New Roman"/>
          <w:caps/>
          <w:sz w:val="24"/>
          <w:szCs w:val="24"/>
          <w:lang w:val="en-US"/>
        </w:rPr>
      </w:pPr>
      <w:r w:rsidRPr="005703D6">
        <w:rPr>
          <w:rFonts w:ascii="Times New Roman" w:hAnsi="Times New Roman"/>
          <w:sz w:val="24"/>
          <w:szCs w:val="24"/>
          <w:lang w:val="en-US"/>
        </w:rPr>
        <w:t>Paleobiology and paleoecology</w:t>
      </w:r>
      <w:bookmarkStart w:id="0" w:name="_Toc130020783"/>
      <w:r w:rsidRPr="005703D6">
        <w:rPr>
          <w:rFonts w:ascii="Times New Roman" w:hAnsi="Times New Roman"/>
          <w:sz w:val="24"/>
          <w:szCs w:val="24"/>
          <w:lang w:val="en-US"/>
        </w:rPr>
        <w:t xml:space="preserve"> of the early Turonian (Late Cretaceous)</w:t>
      </w:r>
      <w:bookmarkEnd w:id="0"/>
      <w:r w:rsidRPr="005703D6">
        <w:rPr>
          <w:rFonts w:ascii="Times New Roman" w:hAnsi="Times New Roman"/>
          <w:sz w:val="24"/>
          <w:szCs w:val="24"/>
          <w:lang w:val="en-US"/>
        </w:rPr>
        <w:t xml:space="preserve"> ammonite </w:t>
      </w:r>
      <w:r w:rsidRPr="005703D6">
        <w:rPr>
          <w:rFonts w:ascii="Times New Roman" w:hAnsi="Times New Roman"/>
          <w:i/>
          <w:sz w:val="24"/>
          <w:szCs w:val="24"/>
          <w:lang w:val="en-US"/>
        </w:rPr>
        <w:t>Pseudaspidoceras flexuosum</w:t>
      </w:r>
    </w:p>
    <w:p w:rsidR="00DE6D87" w:rsidRPr="00CC70B3" w:rsidRDefault="00DE6D87" w:rsidP="00DE6D87">
      <w:pPr>
        <w:spacing w:line="480" w:lineRule="auto"/>
        <w:jc w:val="center"/>
        <w:rPr>
          <w:caps/>
          <w:sz w:val="24"/>
          <w:szCs w:val="24"/>
        </w:rPr>
      </w:pPr>
      <w:r w:rsidRPr="00CC70B3">
        <w:rPr>
          <w:sz w:val="24"/>
          <w:szCs w:val="24"/>
        </w:rPr>
        <w:t xml:space="preserve">Christina </w:t>
      </w:r>
      <w:proofErr w:type="spellStart"/>
      <w:r w:rsidRPr="00CC70B3">
        <w:rPr>
          <w:sz w:val="24"/>
          <w:szCs w:val="24"/>
        </w:rPr>
        <w:t>Ifrim</w:t>
      </w:r>
      <w:proofErr w:type="spellEnd"/>
    </w:p>
    <w:p w:rsidR="00DE6D87" w:rsidRDefault="00DE6D87" w:rsidP="00DE6D87">
      <w:pPr>
        <w:rPr>
          <w:i/>
          <w:sz w:val="24"/>
          <w:szCs w:val="24"/>
        </w:rPr>
      </w:pPr>
      <w:proofErr w:type="spellStart"/>
      <w:r w:rsidRPr="00CC70B3">
        <w:rPr>
          <w:i/>
          <w:sz w:val="24"/>
          <w:szCs w:val="24"/>
        </w:rPr>
        <w:t>Institut</w:t>
      </w:r>
      <w:proofErr w:type="spellEnd"/>
      <w:r w:rsidRPr="00CC70B3">
        <w:rPr>
          <w:i/>
          <w:sz w:val="24"/>
          <w:szCs w:val="24"/>
        </w:rPr>
        <w:t xml:space="preserve"> </w:t>
      </w:r>
      <w:proofErr w:type="spellStart"/>
      <w:r w:rsidRPr="00CC70B3">
        <w:rPr>
          <w:i/>
          <w:sz w:val="24"/>
          <w:szCs w:val="24"/>
        </w:rPr>
        <w:t>für</w:t>
      </w:r>
      <w:proofErr w:type="spellEnd"/>
      <w:r w:rsidRPr="00CC70B3">
        <w:rPr>
          <w:i/>
          <w:sz w:val="24"/>
          <w:szCs w:val="24"/>
        </w:rPr>
        <w:t xml:space="preserve"> </w:t>
      </w:r>
      <w:proofErr w:type="spellStart"/>
      <w:r w:rsidRPr="00CC70B3">
        <w:rPr>
          <w:i/>
          <w:sz w:val="24"/>
          <w:szCs w:val="24"/>
        </w:rPr>
        <w:t>Geowissenschaften</w:t>
      </w:r>
      <w:proofErr w:type="spellEnd"/>
      <w:r w:rsidRPr="00CC70B3">
        <w:rPr>
          <w:i/>
          <w:sz w:val="24"/>
          <w:szCs w:val="24"/>
        </w:rPr>
        <w:t xml:space="preserve">, </w:t>
      </w:r>
      <w:proofErr w:type="spellStart"/>
      <w:r w:rsidRPr="00CC70B3">
        <w:rPr>
          <w:i/>
          <w:sz w:val="24"/>
          <w:szCs w:val="24"/>
        </w:rPr>
        <w:t>Ruprecht-Karls-Universität</w:t>
      </w:r>
      <w:proofErr w:type="spellEnd"/>
      <w:r w:rsidRPr="00CC70B3">
        <w:rPr>
          <w:i/>
          <w:sz w:val="24"/>
          <w:szCs w:val="24"/>
        </w:rPr>
        <w:t xml:space="preserve">, </w:t>
      </w:r>
      <w:proofErr w:type="spellStart"/>
      <w:r w:rsidRPr="00CC70B3">
        <w:rPr>
          <w:i/>
          <w:sz w:val="24"/>
          <w:szCs w:val="24"/>
        </w:rPr>
        <w:t>Im</w:t>
      </w:r>
      <w:proofErr w:type="spellEnd"/>
      <w:r w:rsidRPr="00CC70B3">
        <w:rPr>
          <w:i/>
          <w:sz w:val="24"/>
          <w:szCs w:val="24"/>
        </w:rPr>
        <w:t xml:space="preserve"> </w:t>
      </w:r>
      <w:proofErr w:type="spellStart"/>
      <w:r w:rsidRPr="00CC70B3">
        <w:rPr>
          <w:i/>
          <w:sz w:val="24"/>
          <w:szCs w:val="24"/>
        </w:rPr>
        <w:t>Neuenheimer</w:t>
      </w:r>
      <w:proofErr w:type="spellEnd"/>
      <w:r w:rsidRPr="00CC70B3">
        <w:rPr>
          <w:i/>
          <w:sz w:val="24"/>
          <w:szCs w:val="24"/>
        </w:rPr>
        <w:t xml:space="preserve"> Feld 234, 69120 Heidelberg, Germany, </w:t>
      </w:r>
      <w:hyperlink r:id="rId6" w:history="1">
        <w:r w:rsidRPr="00BA4AE9">
          <w:rPr>
            <w:rStyle w:val="Hyperlink"/>
            <w:i/>
            <w:sz w:val="24"/>
            <w:szCs w:val="24"/>
          </w:rPr>
          <w:t>christina.ifrim@geow.uni-heidelberg.de</w:t>
        </w:r>
      </w:hyperlink>
    </w:p>
    <w:p w:rsidR="00DE6D87" w:rsidRPr="00CC70B3" w:rsidRDefault="00DE6D87" w:rsidP="00DE6D87">
      <w:pPr>
        <w:rPr>
          <w:i/>
          <w:caps/>
          <w:sz w:val="24"/>
          <w:szCs w:val="24"/>
        </w:rPr>
      </w:pPr>
    </w:p>
    <w:p w:rsidR="00DE6D87" w:rsidRPr="005703D6" w:rsidRDefault="00DE6D87" w:rsidP="00DE6D87">
      <w:pPr>
        <w:spacing w:line="480" w:lineRule="auto"/>
      </w:pPr>
      <w:r w:rsidRPr="005703D6">
        <w:t xml:space="preserve">Keywords: quantitative analysis, dwelling depth, dimorphism, mode of life, </w:t>
      </w:r>
      <w:proofErr w:type="spellStart"/>
      <w:r w:rsidRPr="005703D6">
        <w:t>spinose</w:t>
      </w:r>
      <w:proofErr w:type="spellEnd"/>
      <w:r w:rsidRPr="005703D6">
        <w:t xml:space="preserve"> ornament</w:t>
      </w:r>
    </w:p>
    <w:p w:rsidR="00DE6D87" w:rsidRPr="00CC70B3" w:rsidRDefault="00DE6D87" w:rsidP="00DE6D87">
      <w:pPr>
        <w:pStyle w:val="TOC1"/>
        <w:rPr>
          <w:szCs w:val="24"/>
          <w:lang w:val="en-US"/>
        </w:rPr>
      </w:pPr>
      <w:r w:rsidRPr="00CC70B3">
        <w:rPr>
          <w:b/>
          <w:szCs w:val="24"/>
          <w:lang w:val="en-US"/>
        </w:rPr>
        <w:t>ABSTRACT</w:t>
      </w:r>
    </w:p>
    <w:p w:rsidR="00DE6D87" w:rsidRPr="005703D6" w:rsidRDefault="00DE6D87" w:rsidP="00DE6D87">
      <w:pPr>
        <w:rPr>
          <w:sz w:val="24"/>
          <w:szCs w:val="24"/>
        </w:rPr>
      </w:pPr>
      <w:r w:rsidRPr="005703D6">
        <w:rPr>
          <w:sz w:val="24"/>
          <w:szCs w:val="24"/>
        </w:rPr>
        <w:t xml:space="preserve">During the early </w:t>
      </w:r>
      <w:proofErr w:type="spellStart"/>
      <w:r w:rsidRPr="005703D6">
        <w:rPr>
          <w:sz w:val="24"/>
          <w:szCs w:val="24"/>
        </w:rPr>
        <w:t>Turonian</w:t>
      </w:r>
      <w:proofErr w:type="spellEnd"/>
      <w:r w:rsidRPr="005703D6">
        <w:rPr>
          <w:sz w:val="24"/>
          <w:szCs w:val="24"/>
        </w:rPr>
        <w:t xml:space="preserve">, </w:t>
      </w:r>
      <w:proofErr w:type="spellStart"/>
      <w:r w:rsidRPr="005703D6">
        <w:rPr>
          <w:i/>
          <w:sz w:val="24"/>
          <w:szCs w:val="24"/>
        </w:rPr>
        <w:t>Pseudaspidoceras</w:t>
      </w:r>
      <w:proofErr w:type="spellEnd"/>
      <w:r w:rsidRPr="005703D6">
        <w:rPr>
          <w:sz w:val="24"/>
          <w:szCs w:val="24"/>
        </w:rPr>
        <w:t xml:space="preserve"> </w:t>
      </w:r>
      <w:proofErr w:type="spellStart"/>
      <w:r w:rsidRPr="005703D6">
        <w:rPr>
          <w:i/>
          <w:sz w:val="24"/>
          <w:szCs w:val="24"/>
        </w:rPr>
        <w:t>flexuosum</w:t>
      </w:r>
      <w:proofErr w:type="spellEnd"/>
      <w:r w:rsidRPr="005703D6">
        <w:rPr>
          <w:sz w:val="24"/>
          <w:szCs w:val="24"/>
        </w:rPr>
        <w:t xml:space="preserve"> was a common ammonite in low and intermediate latitudes. At </w:t>
      </w:r>
      <w:proofErr w:type="spellStart"/>
      <w:r w:rsidRPr="005703D6">
        <w:rPr>
          <w:sz w:val="24"/>
          <w:szCs w:val="24"/>
        </w:rPr>
        <w:t>Vallecillo</w:t>
      </w:r>
      <w:proofErr w:type="spellEnd"/>
      <w:r w:rsidRPr="005703D6">
        <w:rPr>
          <w:sz w:val="24"/>
          <w:szCs w:val="24"/>
        </w:rPr>
        <w:t xml:space="preserve"> section, northeastern Mexico, 160 specimens were recovered from the section, allowing for quantitative analysis. The combination of quantitative data with sedimentology and geochemistry allow for erection of a differentiated model for the mode of life of </w:t>
      </w:r>
      <w:r w:rsidRPr="005703D6">
        <w:rPr>
          <w:i/>
          <w:sz w:val="24"/>
          <w:szCs w:val="24"/>
        </w:rPr>
        <w:t xml:space="preserve">P. </w:t>
      </w:r>
      <w:proofErr w:type="spellStart"/>
      <w:r w:rsidRPr="005703D6">
        <w:rPr>
          <w:i/>
          <w:sz w:val="24"/>
          <w:szCs w:val="24"/>
        </w:rPr>
        <w:t>flexuosum</w:t>
      </w:r>
      <w:proofErr w:type="spellEnd"/>
      <w:r w:rsidRPr="005703D6">
        <w:rPr>
          <w:sz w:val="24"/>
          <w:szCs w:val="24"/>
        </w:rPr>
        <w:t xml:space="preserve">. This model provides insight into the </w:t>
      </w:r>
      <w:proofErr w:type="spellStart"/>
      <w:r w:rsidRPr="005703D6">
        <w:rPr>
          <w:sz w:val="24"/>
          <w:szCs w:val="24"/>
        </w:rPr>
        <w:t>paleobiology</w:t>
      </w:r>
      <w:proofErr w:type="spellEnd"/>
      <w:r w:rsidRPr="005703D6">
        <w:rPr>
          <w:sz w:val="24"/>
          <w:szCs w:val="24"/>
        </w:rPr>
        <w:t xml:space="preserve"> and paleoecology of</w:t>
      </w:r>
      <w:r w:rsidRPr="005703D6">
        <w:rPr>
          <w:i/>
          <w:sz w:val="24"/>
          <w:szCs w:val="24"/>
        </w:rPr>
        <w:t xml:space="preserve"> </w:t>
      </w:r>
      <w:r w:rsidRPr="005703D6">
        <w:rPr>
          <w:sz w:val="24"/>
          <w:szCs w:val="24"/>
        </w:rPr>
        <w:t xml:space="preserve">this ammonite, and ammonites in general. The </w:t>
      </w:r>
      <w:proofErr w:type="spellStart"/>
      <w:r w:rsidRPr="005703D6">
        <w:rPr>
          <w:sz w:val="24"/>
          <w:szCs w:val="24"/>
        </w:rPr>
        <w:t>Vallecillo</w:t>
      </w:r>
      <w:proofErr w:type="spellEnd"/>
      <w:r w:rsidRPr="005703D6">
        <w:rPr>
          <w:sz w:val="24"/>
          <w:szCs w:val="24"/>
        </w:rPr>
        <w:t xml:space="preserve"> section contains the longest record of this species worldwide. Changes in abundance and diameter of this ammonite appear to be related to changes of oxygen content in the water column. </w:t>
      </w:r>
      <w:r w:rsidRPr="005703D6">
        <w:rPr>
          <w:i/>
          <w:sz w:val="24"/>
          <w:szCs w:val="24"/>
        </w:rPr>
        <w:t xml:space="preserve">P. </w:t>
      </w:r>
      <w:proofErr w:type="spellStart"/>
      <w:proofErr w:type="gramStart"/>
      <w:r w:rsidRPr="005703D6">
        <w:rPr>
          <w:i/>
          <w:sz w:val="24"/>
          <w:szCs w:val="24"/>
        </w:rPr>
        <w:t>flexuosum</w:t>
      </w:r>
      <w:proofErr w:type="spellEnd"/>
      <w:proofErr w:type="gramEnd"/>
      <w:r w:rsidRPr="005703D6">
        <w:rPr>
          <w:sz w:val="24"/>
          <w:szCs w:val="24"/>
        </w:rPr>
        <w:t xml:space="preserve"> dwelled in the well-oxygenated upper surface water and formed part of the open marine pelagic ecosystem; a </w:t>
      </w:r>
      <w:proofErr w:type="spellStart"/>
      <w:r w:rsidRPr="005703D6">
        <w:rPr>
          <w:sz w:val="24"/>
          <w:szCs w:val="24"/>
        </w:rPr>
        <w:t>demersal</w:t>
      </w:r>
      <w:proofErr w:type="spellEnd"/>
      <w:r w:rsidRPr="005703D6">
        <w:rPr>
          <w:sz w:val="24"/>
          <w:szCs w:val="24"/>
        </w:rPr>
        <w:t xml:space="preserve"> mode of life is excluded here. Dimorphism is expressed in size and less in ornamentation, but both dimorphs bear long spines, first recorded for this species. The spines were likely used for stabilization in the water column and protection against suction-feeding fishes and comparable predators, but not against </w:t>
      </w:r>
      <w:proofErr w:type="spellStart"/>
      <w:r w:rsidRPr="005703D6">
        <w:rPr>
          <w:sz w:val="24"/>
          <w:szCs w:val="24"/>
        </w:rPr>
        <w:t>pycnodont</w:t>
      </w:r>
      <w:proofErr w:type="spellEnd"/>
      <w:r w:rsidRPr="005703D6">
        <w:rPr>
          <w:sz w:val="24"/>
          <w:szCs w:val="24"/>
        </w:rPr>
        <w:t xml:space="preserve"> sharks. A sensory function is also plausible for the last one to three pairs of spines. This differentiated model of the mode of life of </w:t>
      </w:r>
      <w:r w:rsidRPr="005703D6">
        <w:rPr>
          <w:i/>
          <w:sz w:val="24"/>
          <w:szCs w:val="24"/>
        </w:rPr>
        <w:t xml:space="preserve">P. </w:t>
      </w:r>
      <w:proofErr w:type="spellStart"/>
      <w:r w:rsidRPr="005703D6">
        <w:rPr>
          <w:i/>
          <w:sz w:val="24"/>
          <w:szCs w:val="24"/>
        </w:rPr>
        <w:t>flexuosum</w:t>
      </w:r>
      <w:proofErr w:type="spellEnd"/>
      <w:r w:rsidRPr="005703D6">
        <w:rPr>
          <w:sz w:val="24"/>
          <w:szCs w:val="24"/>
        </w:rPr>
        <w:t xml:space="preserve"> contrasts with the paleoecology reconstructed for other ammonites. Ammonites covered a wide range of ecological niches, and their complex paleoecology will only be solved with more species-based analyses. </w:t>
      </w:r>
    </w:p>
    <w:p w:rsidR="00B0501F" w:rsidRDefault="00B0501F">
      <w:bookmarkStart w:id="1" w:name="_GoBack"/>
      <w:bookmarkEnd w:id="1"/>
    </w:p>
    <w:sectPr w:rsidR="00B0501F" w:rsidSect="005F6A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94"/>
    <w:rsid w:val="0035308F"/>
    <w:rsid w:val="005F6A69"/>
    <w:rsid w:val="00707694"/>
    <w:rsid w:val="00B0501F"/>
    <w:rsid w:val="00DE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FA9B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94"/>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07694"/>
    <w:rPr>
      <w:color w:val="0000FF"/>
      <w:u w:val="single"/>
    </w:rPr>
  </w:style>
  <w:style w:type="paragraph" w:customStyle="1" w:styleId="Authors">
    <w:name w:val="Authors"/>
    <w:basedOn w:val="Normal"/>
    <w:rsid w:val="00707694"/>
    <w:pPr>
      <w:spacing w:before="120" w:after="360"/>
      <w:jc w:val="center"/>
    </w:pPr>
    <w:rPr>
      <w:rFonts w:eastAsia="Times New Roman"/>
      <w:sz w:val="24"/>
      <w:szCs w:val="24"/>
    </w:rPr>
  </w:style>
  <w:style w:type="paragraph" w:customStyle="1" w:styleId="Paragraph">
    <w:name w:val="Paragraph"/>
    <w:basedOn w:val="Normal"/>
    <w:rsid w:val="00707694"/>
    <w:pPr>
      <w:spacing w:before="120"/>
      <w:ind w:firstLine="720"/>
    </w:pPr>
    <w:rPr>
      <w:rFonts w:eastAsia="Times New Roman"/>
      <w:sz w:val="24"/>
      <w:szCs w:val="24"/>
    </w:rPr>
  </w:style>
  <w:style w:type="paragraph" w:customStyle="1" w:styleId="Head">
    <w:name w:val="Head"/>
    <w:basedOn w:val="Normal"/>
    <w:rsid w:val="00707694"/>
    <w:pPr>
      <w:keepNext/>
      <w:spacing w:before="120" w:after="120"/>
      <w:jc w:val="center"/>
      <w:outlineLvl w:val="0"/>
    </w:pPr>
    <w:rPr>
      <w:rFonts w:eastAsia="Times New Roman"/>
      <w:b/>
      <w:bCs/>
      <w:kern w:val="28"/>
      <w:sz w:val="28"/>
      <w:szCs w:val="28"/>
    </w:rPr>
  </w:style>
  <w:style w:type="paragraph" w:styleId="TOC1">
    <w:name w:val="toc 1"/>
    <w:basedOn w:val="Normal"/>
    <w:next w:val="Normal"/>
    <w:autoRedefine/>
    <w:rsid w:val="00DE6D87"/>
    <w:pPr>
      <w:spacing w:line="480" w:lineRule="auto"/>
      <w:jc w:val="center"/>
    </w:pPr>
    <w:rPr>
      <w:rFonts w:eastAsia="Times"/>
      <w:noProof/>
      <w:sz w:val="24"/>
      <w:lang w:val="de-DE" w:eastAsia="de-DE"/>
    </w:rPr>
  </w:style>
  <w:style w:type="paragraph" w:styleId="Title">
    <w:name w:val="Title"/>
    <w:basedOn w:val="Normal"/>
    <w:link w:val="TitleChar"/>
    <w:qFormat/>
    <w:rsid w:val="00DE6D87"/>
    <w:pPr>
      <w:spacing w:before="240" w:after="60" w:line="480" w:lineRule="auto"/>
      <w:jc w:val="center"/>
      <w:outlineLvl w:val="0"/>
    </w:pPr>
    <w:rPr>
      <w:rFonts w:ascii="Helvetica" w:eastAsia="Times" w:hAnsi="Helvetica"/>
      <w:b/>
      <w:noProof/>
      <w:kern w:val="28"/>
      <w:sz w:val="32"/>
      <w:lang w:val="de-DE" w:eastAsia="de-DE"/>
    </w:rPr>
  </w:style>
  <w:style w:type="character" w:customStyle="1" w:styleId="TitleChar">
    <w:name w:val="Title Char"/>
    <w:basedOn w:val="DefaultParagraphFont"/>
    <w:link w:val="Title"/>
    <w:rsid w:val="00DE6D87"/>
    <w:rPr>
      <w:rFonts w:ascii="Helvetica" w:eastAsia="Times" w:hAnsi="Helvetica" w:cs="Times New Roman"/>
      <w:b/>
      <w:noProof/>
      <w:kern w:val="28"/>
      <w:sz w:val="32"/>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694"/>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07694"/>
    <w:rPr>
      <w:color w:val="0000FF"/>
      <w:u w:val="single"/>
    </w:rPr>
  </w:style>
  <w:style w:type="paragraph" w:customStyle="1" w:styleId="Authors">
    <w:name w:val="Authors"/>
    <w:basedOn w:val="Normal"/>
    <w:rsid w:val="00707694"/>
    <w:pPr>
      <w:spacing w:before="120" w:after="360"/>
      <w:jc w:val="center"/>
    </w:pPr>
    <w:rPr>
      <w:rFonts w:eastAsia="Times New Roman"/>
      <w:sz w:val="24"/>
      <w:szCs w:val="24"/>
    </w:rPr>
  </w:style>
  <w:style w:type="paragraph" w:customStyle="1" w:styleId="Paragraph">
    <w:name w:val="Paragraph"/>
    <w:basedOn w:val="Normal"/>
    <w:rsid w:val="00707694"/>
    <w:pPr>
      <w:spacing w:before="120"/>
      <w:ind w:firstLine="720"/>
    </w:pPr>
    <w:rPr>
      <w:rFonts w:eastAsia="Times New Roman"/>
      <w:sz w:val="24"/>
      <w:szCs w:val="24"/>
    </w:rPr>
  </w:style>
  <w:style w:type="paragraph" w:customStyle="1" w:styleId="Head">
    <w:name w:val="Head"/>
    <w:basedOn w:val="Normal"/>
    <w:rsid w:val="00707694"/>
    <w:pPr>
      <w:keepNext/>
      <w:spacing w:before="120" w:after="120"/>
      <w:jc w:val="center"/>
      <w:outlineLvl w:val="0"/>
    </w:pPr>
    <w:rPr>
      <w:rFonts w:eastAsia="Times New Roman"/>
      <w:b/>
      <w:bCs/>
      <w:kern w:val="28"/>
      <w:sz w:val="28"/>
      <w:szCs w:val="28"/>
    </w:rPr>
  </w:style>
  <w:style w:type="paragraph" w:styleId="TOC1">
    <w:name w:val="toc 1"/>
    <w:basedOn w:val="Normal"/>
    <w:next w:val="Normal"/>
    <w:autoRedefine/>
    <w:rsid w:val="00DE6D87"/>
    <w:pPr>
      <w:spacing w:line="480" w:lineRule="auto"/>
      <w:jc w:val="center"/>
    </w:pPr>
    <w:rPr>
      <w:rFonts w:eastAsia="Times"/>
      <w:noProof/>
      <w:sz w:val="24"/>
      <w:lang w:val="de-DE" w:eastAsia="de-DE"/>
    </w:rPr>
  </w:style>
  <w:style w:type="paragraph" w:styleId="Title">
    <w:name w:val="Title"/>
    <w:basedOn w:val="Normal"/>
    <w:link w:val="TitleChar"/>
    <w:qFormat/>
    <w:rsid w:val="00DE6D87"/>
    <w:pPr>
      <w:spacing w:before="240" w:after="60" w:line="480" w:lineRule="auto"/>
      <w:jc w:val="center"/>
      <w:outlineLvl w:val="0"/>
    </w:pPr>
    <w:rPr>
      <w:rFonts w:ascii="Helvetica" w:eastAsia="Times" w:hAnsi="Helvetica"/>
      <w:b/>
      <w:noProof/>
      <w:kern w:val="28"/>
      <w:sz w:val="32"/>
      <w:lang w:val="de-DE" w:eastAsia="de-DE"/>
    </w:rPr>
  </w:style>
  <w:style w:type="character" w:customStyle="1" w:styleId="TitleChar">
    <w:name w:val="Title Char"/>
    <w:basedOn w:val="DefaultParagraphFont"/>
    <w:link w:val="Title"/>
    <w:rsid w:val="00DE6D87"/>
    <w:rPr>
      <w:rFonts w:ascii="Helvetica" w:eastAsia="Times" w:hAnsi="Helvetica" w:cs="Times New Roman"/>
      <w:b/>
      <w:noProof/>
      <w:kern w:val="28"/>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hristina.ifrim@geow.uni-heidelberg.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1729</Characters>
  <Application>Microsoft Macintosh Word</Application>
  <DocSecurity>0</DocSecurity>
  <Lines>14</Lines>
  <Paragraphs>4</Paragraphs>
  <ScaleCrop>false</ScaleCrop>
  <Company>University of Kansas</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Cormack</dc:creator>
  <cp:keywords/>
  <dc:description/>
  <cp:lastModifiedBy>Mike Cormack</cp:lastModifiedBy>
  <cp:revision>2</cp:revision>
  <dcterms:created xsi:type="dcterms:W3CDTF">2013-01-22T21:24:00Z</dcterms:created>
  <dcterms:modified xsi:type="dcterms:W3CDTF">2013-01-22T21:24:00Z</dcterms:modified>
</cp:coreProperties>
</file>