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348" w:rsidRPr="00DC52D4" w:rsidRDefault="00927215" w:rsidP="00DC5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bookmarkStart w:id="0" w:name="_GoBack"/>
      <w:bookmarkEnd w:id="0"/>
      <w:r w:rsidRPr="00DC52D4">
        <w:rPr>
          <w:b/>
          <w:sz w:val="28"/>
          <w:szCs w:val="28"/>
        </w:rPr>
        <w:t>SUPPLEMENTARY MATERIALS</w:t>
      </w:r>
    </w:p>
    <w:p w:rsidR="00032CD2" w:rsidRDefault="00032CD2" w:rsidP="008E5E2B">
      <w:pPr>
        <w:jc w:val="center"/>
        <w:rPr>
          <w:b/>
          <w:sz w:val="28"/>
          <w:szCs w:val="28"/>
        </w:rPr>
      </w:pPr>
    </w:p>
    <w:p w:rsidR="00032CD2" w:rsidRDefault="00032CD2" w:rsidP="008E5E2B">
      <w:pPr>
        <w:jc w:val="center"/>
        <w:rPr>
          <w:b/>
          <w:sz w:val="28"/>
          <w:szCs w:val="28"/>
        </w:rPr>
      </w:pPr>
    </w:p>
    <w:p w:rsidR="008E5E2B" w:rsidRPr="00DC52D4" w:rsidRDefault="008E5E2B" w:rsidP="008E5E2B">
      <w:pPr>
        <w:jc w:val="center"/>
        <w:rPr>
          <w:b/>
          <w:sz w:val="28"/>
          <w:szCs w:val="28"/>
        </w:rPr>
      </w:pPr>
      <w:r w:rsidRPr="00DC52D4">
        <w:rPr>
          <w:b/>
          <w:sz w:val="28"/>
          <w:szCs w:val="28"/>
        </w:rPr>
        <w:t>Jenkins, C.J.</w:t>
      </w:r>
      <w:r w:rsidR="00E12967">
        <w:rPr>
          <w:b/>
          <w:sz w:val="28"/>
          <w:szCs w:val="28"/>
        </w:rPr>
        <w:t xml:space="preserve"> 2018.</w:t>
      </w:r>
      <w:r w:rsidRPr="00DC52D4">
        <w:rPr>
          <w:b/>
          <w:sz w:val="28"/>
          <w:szCs w:val="28"/>
        </w:rPr>
        <w:t xml:space="preserve"> “Sediment Accumulation Rates for the Mississippi Delta Region: A Time-Interval Synthesis”</w:t>
      </w:r>
    </w:p>
    <w:p w:rsidR="00E12967" w:rsidRDefault="00E12967" w:rsidP="00311D5F">
      <w:pPr>
        <w:rPr>
          <w:rFonts w:cstheme="minorHAnsi"/>
          <w:b/>
          <w:color w:val="000000" w:themeColor="text1"/>
          <w:sz w:val="24"/>
          <w:szCs w:val="24"/>
        </w:rPr>
      </w:pPr>
    </w:p>
    <w:p w:rsidR="00311D5F" w:rsidRDefault="00311D5F" w:rsidP="00311D5F">
      <w:pPr>
        <w:rPr>
          <w:rFonts w:cstheme="minorHAnsi"/>
          <w:b/>
          <w:color w:val="000000" w:themeColor="text1"/>
          <w:sz w:val="24"/>
          <w:szCs w:val="24"/>
        </w:rPr>
      </w:pPr>
    </w:p>
    <w:p w:rsidR="00311D5F" w:rsidRDefault="00311D5F" w:rsidP="00311D5F">
      <w:pPr>
        <w:rPr>
          <w:rFonts w:cstheme="minorHAnsi"/>
          <w:b/>
          <w:color w:val="000000" w:themeColor="text1"/>
          <w:sz w:val="24"/>
          <w:szCs w:val="24"/>
        </w:rPr>
      </w:pPr>
    </w:p>
    <w:p w:rsidR="00311D5F" w:rsidRDefault="00311D5F" w:rsidP="00311D5F">
      <w:pPr>
        <w:rPr>
          <w:rFonts w:cstheme="minorHAnsi"/>
          <w:b/>
          <w:color w:val="000000" w:themeColor="text1"/>
          <w:sz w:val="24"/>
          <w:szCs w:val="24"/>
        </w:rPr>
      </w:pPr>
    </w:p>
    <w:p w:rsidR="00311D5F" w:rsidRDefault="00311D5F" w:rsidP="00311D5F">
      <w:pPr>
        <w:rPr>
          <w:rFonts w:cstheme="minorHAnsi"/>
          <w:b/>
          <w:color w:val="000000" w:themeColor="text1"/>
          <w:sz w:val="24"/>
          <w:szCs w:val="24"/>
        </w:rPr>
      </w:pPr>
    </w:p>
    <w:p w:rsidR="00311D5F" w:rsidRDefault="00311D5F" w:rsidP="00311D5F">
      <w:pPr>
        <w:rPr>
          <w:rFonts w:cstheme="minorHAnsi"/>
          <w:b/>
          <w:color w:val="000000" w:themeColor="text1"/>
          <w:sz w:val="24"/>
          <w:szCs w:val="24"/>
        </w:rPr>
      </w:pPr>
    </w:p>
    <w:p w:rsidR="00311D5F" w:rsidRDefault="00311D5F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br w:type="page"/>
      </w:r>
    </w:p>
    <w:p w:rsidR="00E12967" w:rsidRPr="00A35A76" w:rsidRDefault="008E5E2B" w:rsidP="00311D5F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A35A76">
        <w:rPr>
          <w:rFonts w:cstheme="minorHAnsi"/>
          <w:color w:val="000000" w:themeColor="text1"/>
          <w:sz w:val="24"/>
          <w:szCs w:val="24"/>
        </w:rPr>
        <w:lastRenderedPageBreak/>
        <w:t xml:space="preserve">Figure S1. </w:t>
      </w:r>
      <w:r w:rsidR="00E12967" w:rsidRPr="00A35A76">
        <w:rPr>
          <w:rFonts w:cstheme="minorHAnsi"/>
          <w:color w:val="000000" w:themeColor="text1"/>
          <w:sz w:val="24"/>
          <w:szCs w:val="24"/>
        </w:rPr>
        <w:t>Plot of the Sadler Effect coefficients Intercept and Slope for various divisions of the data, illustrating the scope of their variability. The error bars show the 1</w:t>
      </w:r>
      <w:r w:rsidR="00E12967" w:rsidRPr="00A35A76">
        <w:rPr>
          <w:rFonts w:cstheme="minorHAnsi"/>
          <w:color w:val="000000" w:themeColor="text1"/>
          <w:sz w:val="24"/>
          <w:szCs w:val="24"/>
        </w:rPr>
        <w:sym w:font="Symbol" w:char="F073"/>
      </w:r>
      <w:r w:rsidR="00E12967" w:rsidRPr="00A35A76">
        <w:rPr>
          <w:rFonts w:cstheme="minorHAnsi"/>
          <w:color w:val="000000" w:themeColor="text1"/>
          <w:sz w:val="24"/>
          <w:szCs w:val="24"/>
        </w:rPr>
        <w:t xml:space="preserve"> level of Standard Deviation on each coefficient, calculated from the Standard Error of the regression on the log10 raw data values.</w:t>
      </w:r>
      <w:r w:rsidR="00311D5F">
        <w:rPr>
          <w:rFonts w:cstheme="minorHAnsi"/>
          <w:color w:val="000000" w:themeColor="text1"/>
          <w:sz w:val="24"/>
          <w:szCs w:val="24"/>
        </w:rPr>
        <w:t xml:space="preserve"> The divisions are denoted as follows: </w:t>
      </w:r>
      <w:proofErr w:type="spellStart"/>
      <w:r w:rsidR="00311D5F">
        <w:rPr>
          <w:rFonts w:cstheme="minorHAnsi"/>
          <w:color w:val="000000" w:themeColor="text1"/>
          <w:sz w:val="24"/>
          <w:szCs w:val="24"/>
        </w:rPr>
        <w:t>prodelta</w:t>
      </w:r>
      <w:proofErr w:type="spellEnd"/>
      <w:r w:rsidR="00311D5F">
        <w:rPr>
          <w:rFonts w:cstheme="minorHAnsi"/>
          <w:color w:val="000000" w:themeColor="text1"/>
          <w:sz w:val="24"/>
          <w:szCs w:val="24"/>
        </w:rPr>
        <w:t xml:space="preserve"> – </w:t>
      </w:r>
      <w:proofErr w:type="spellStart"/>
      <w:r w:rsidR="00311D5F">
        <w:rPr>
          <w:rFonts w:cstheme="minorHAnsi"/>
          <w:color w:val="000000" w:themeColor="text1"/>
          <w:sz w:val="24"/>
          <w:szCs w:val="24"/>
        </w:rPr>
        <w:t>prodelta</w:t>
      </w:r>
      <w:proofErr w:type="spellEnd"/>
      <w:r w:rsidR="00311D5F">
        <w:rPr>
          <w:rFonts w:cstheme="minorHAnsi"/>
          <w:color w:val="000000" w:themeColor="text1"/>
          <w:sz w:val="24"/>
          <w:szCs w:val="24"/>
        </w:rPr>
        <w:t xml:space="preserve"> area of the Mississippi Delta; bay – an enclosed marine area; canyon – submarine canyon area; shoreline – shore zones of land or offshore islands, including barrier islands; shelf – continental shelf, broadly; deeps – all areas deeper than the continental shelf; (for example)</w:t>
      </w:r>
      <w:r w:rsidR="00311D5F" w:rsidRPr="00311D5F">
        <w:rPr>
          <w:rFonts w:cstheme="minorHAnsi"/>
          <w:color w:val="000000" w:themeColor="text1"/>
          <w:sz w:val="24"/>
          <w:szCs w:val="24"/>
        </w:rPr>
        <w:t xml:space="preserve"> </w:t>
      </w:r>
      <w:r w:rsidR="00311D5F">
        <w:rPr>
          <w:rFonts w:cstheme="minorHAnsi"/>
          <w:color w:val="000000" w:themeColor="text1"/>
          <w:sz w:val="24"/>
          <w:szCs w:val="24"/>
        </w:rPr>
        <w:t>25_wd_80 –for all data in areas between 25 and 80m WD; (for example)</w:t>
      </w:r>
      <w:r w:rsidR="00311D5F" w:rsidRPr="00311D5F">
        <w:rPr>
          <w:rFonts w:cstheme="minorHAnsi"/>
          <w:color w:val="000000" w:themeColor="text1"/>
          <w:sz w:val="24"/>
          <w:szCs w:val="24"/>
        </w:rPr>
        <w:t xml:space="preserve"> </w:t>
      </w:r>
      <w:r w:rsidR="00311D5F">
        <w:rPr>
          <w:rFonts w:cstheme="minorHAnsi"/>
          <w:color w:val="000000" w:themeColor="text1"/>
          <w:sz w:val="24"/>
          <w:szCs w:val="24"/>
        </w:rPr>
        <w:t xml:space="preserve">33_mud_66 – all data in areas with between 33 and 66% mud contents according to </w:t>
      </w:r>
      <w:proofErr w:type="spellStart"/>
      <w:r w:rsidR="00311D5F">
        <w:rPr>
          <w:rFonts w:cstheme="minorHAnsi"/>
          <w:color w:val="000000" w:themeColor="text1"/>
          <w:sz w:val="24"/>
          <w:szCs w:val="24"/>
        </w:rPr>
        <w:t>dbSEABED</w:t>
      </w:r>
      <w:proofErr w:type="spellEnd"/>
      <w:r w:rsidR="00311D5F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311D5F">
        <w:rPr>
          <w:rFonts w:cstheme="minorHAnsi"/>
          <w:color w:val="000000" w:themeColor="text1"/>
          <w:sz w:val="24"/>
          <w:szCs w:val="24"/>
        </w:rPr>
        <w:t>griddings</w:t>
      </w:r>
      <w:proofErr w:type="spellEnd"/>
      <w:r w:rsidR="00311D5F">
        <w:rPr>
          <w:rFonts w:cstheme="minorHAnsi"/>
          <w:color w:val="000000" w:themeColor="text1"/>
          <w:sz w:val="24"/>
          <w:szCs w:val="24"/>
        </w:rPr>
        <w:t xml:space="preserve"> (Jenkins ) ; </w:t>
      </w:r>
      <w:proofErr w:type="spellStart"/>
      <w:r w:rsidR="00311D5F">
        <w:rPr>
          <w:rFonts w:cstheme="minorHAnsi"/>
          <w:color w:val="000000" w:themeColor="text1"/>
          <w:sz w:val="24"/>
          <w:szCs w:val="24"/>
        </w:rPr>
        <w:t>raw_by_codes</w:t>
      </w:r>
      <w:proofErr w:type="spellEnd"/>
      <w:r w:rsidR="00311D5F">
        <w:rPr>
          <w:rFonts w:cstheme="minorHAnsi"/>
          <w:color w:val="000000" w:themeColor="text1"/>
          <w:sz w:val="24"/>
          <w:szCs w:val="24"/>
        </w:rPr>
        <w:t xml:space="preserve"> – all the data.</w:t>
      </w:r>
    </w:p>
    <w:p w:rsidR="008E5E2B" w:rsidRDefault="00027DBB" w:rsidP="00DC52D4">
      <w:pPr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346.5pt">
            <v:imagedata r:id="rId4" o:title="figS1_gt200" croptop="4700f" cropbottom="1142f" cropleft="1915f" cropright="4959f"/>
          </v:shape>
        </w:pict>
      </w:r>
    </w:p>
    <w:p w:rsidR="008E5E2B" w:rsidRPr="00E12967" w:rsidRDefault="008E5E2B" w:rsidP="00DC52D4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E12967">
        <w:rPr>
          <w:rFonts w:cstheme="minorHAnsi"/>
          <w:color w:val="000000" w:themeColor="text1"/>
          <w:sz w:val="24"/>
          <w:szCs w:val="24"/>
        </w:rPr>
        <w:lastRenderedPageBreak/>
        <w:t xml:space="preserve">Table S1. </w:t>
      </w:r>
      <w:r w:rsidR="00E12967" w:rsidRPr="00DC52D4">
        <w:rPr>
          <w:rFonts w:cstheme="minorHAnsi"/>
          <w:color w:val="000000" w:themeColor="text1"/>
          <w:sz w:val="24"/>
          <w:szCs w:val="24"/>
        </w:rPr>
        <w:t>Sadler Effect coefficients for divisions of the data by WD and province. (* Va</w:t>
      </w:r>
      <w:r w:rsidR="00E12967">
        <w:rPr>
          <w:rFonts w:cstheme="minorHAnsi"/>
          <w:color w:val="000000" w:themeColor="text1"/>
          <w:sz w:val="24"/>
          <w:szCs w:val="24"/>
        </w:rPr>
        <w:t>lues have units of log10_cm/yr.</w:t>
      </w:r>
      <w:r w:rsidR="00E12967" w:rsidRPr="00DC52D4">
        <w:rPr>
          <w:rFonts w:cstheme="minorHAnsi"/>
          <w:color w:val="000000" w:themeColor="text1"/>
          <w:sz w:val="24"/>
          <w:szCs w:val="24"/>
        </w:rPr>
        <w:t>)</w:t>
      </w:r>
    </w:p>
    <w:p w:rsidR="008E5E2B" w:rsidRDefault="008E5E2B" w:rsidP="00DC52D4">
      <w:pPr>
        <w:rPr>
          <w:rFonts w:cstheme="minorHAns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15"/>
        <w:gridCol w:w="1220"/>
        <w:gridCol w:w="1480"/>
        <w:gridCol w:w="1440"/>
        <w:gridCol w:w="990"/>
        <w:gridCol w:w="970"/>
        <w:gridCol w:w="1220"/>
        <w:gridCol w:w="1220"/>
        <w:gridCol w:w="1220"/>
      </w:tblGrid>
      <w:tr w:rsidR="008E5E2B" w:rsidRPr="00DD51AF" w:rsidTr="007138BF">
        <w:trPr>
          <w:trHeight w:val="300"/>
          <w:jc w:val="center"/>
        </w:trPr>
        <w:tc>
          <w:tcPr>
            <w:tcW w:w="1615" w:type="dxa"/>
            <w:shd w:val="clear" w:color="auto" w:fill="E7E6E6" w:themeFill="background2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b/>
                <w:color w:val="000000" w:themeColor="text1"/>
                <w:sz w:val="24"/>
                <w:szCs w:val="24"/>
              </w:rPr>
              <w:t>Parameter:</w:t>
            </w:r>
          </w:p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8E5E2B" w:rsidRPr="00DD51AF" w:rsidRDefault="008E5E2B" w:rsidP="007138BF">
            <w:pPr>
              <w:spacing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b/>
                <w:color w:val="000000" w:themeColor="text1"/>
                <w:sz w:val="24"/>
                <w:szCs w:val="24"/>
              </w:rPr>
              <w:t>Division:</w:t>
            </w:r>
          </w:p>
        </w:tc>
        <w:tc>
          <w:tcPr>
            <w:tcW w:w="1220" w:type="dxa"/>
            <w:shd w:val="clear" w:color="auto" w:fill="F2F2F2" w:themeFill="background1" w:themeFillShade="F2"/>
            <w:noWrap/>
            <w:vAlign w:val="center"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b/>
                <w:color w:val="000000" w:themeColor="text1"/>
                <w:sz w:val="24"/>
                <w:szCs w:val="24"/>
              </w:rPr>
              <w:t>Sl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o</w:t>
            </w:r>
            <w:r w:rsidRPr="00DD51AF">
              <w:rPr>
                <w:rFonts w:cstheme="minorHAnsi"/>
                <w:b/>
                <w:color w:val="000000" w:themeColor="text1"/>
                <w:sz w:val="24"/>
                <w:szCs w:val="24"/>
              </w:rPr>
              <w:t>pe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β’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80" w:type="dxa"/>
            <w:shd w:val="clear" w:color="auto" w:fill="F2F2F2" w:themeFill="background1" w:themeFillShade="F2"/>
            <w:noWrap/>
            <w:vAlign w:val="center"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I</w:t>
            </w:r>
            <w:r w:rsidRPr="00DD51AF">
              <w:rPr>
                <w:rFonts w:cstheme="minorHAnsi"/>
                <w:b/>
                <w:color w:val="000000" w:themeColor="text1"/>
                <w:sz w:val="24"/>
                <w:szCs w:val="24"/>
              </w:rPr>
              <w:t>nt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e</w:t>
            </w:r>
            <w:r w:rsidRPr="00DD51AF">
              <w:rPr>
                <w:rFonts w:cstheme="minorHAnsi"/>
                <w:b/>
                <w:color w:val="000000" w:themeColor="text1"/>
                <w:sz w:val="24"/>
                <w:szCs w:val="24"/>
              </w:rPr>
              <w:t>rc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e</w:t>
            </w:r>
            <w:r w:rsidRPr="00DD51AF">
              <w:rPr>
                <w:rFonts w:cstheme="minorHAnsi"/>
                <w:b/>
                <w:color w:val="000000" w:themeColor="text1"/>
                <w:sz w:val="24"/>
                <w:szCs w:val="24"/>
              </w:rPr>
              <w:t>pt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α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*)</w:t>
            </w: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center"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Intercept LAR (cm/</w:t>
            </w:r>
            <w:proofErr w:type="spellStart"/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yr</w:t>
            </w:r>
            <w:proofErr w:type="spellEnd"/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0" w:type="dxa"/>
            <w:shd w:val="clear" w:color="auto" w:fill="F2F2F2" w:themeFill="background1" w:themeFillShade="F2"/>
            <w:noWrap/>
            <w:vAlign w:val="center"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b/>
                <w:color w:val="000000" w:themeColor="text1"/>
                <w:sz w:val="24"/>
                <w:szCs w:val="24"/>
              </w:rPr>
              <w:t>R</w:t>
            </w:r>
            <w:r w:rsidRPr="00DD51AF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70" w:type="dxa"/>
            <w:shd w:val="clear" w:color="auto" w:fill="F2F2F2" w:themeFill="background1" w:themeFillShade="F2"/>
            <w:noWrap/>
            <w:vAlign w:val="center"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b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220" w:type="dxa"/>
            <w:shd w:val="clear" w:color="auto" w:fill="F2F2F2" w:themeFill="background1" w:themeFillShade="F2"/>
            <w:noWrap/>
            <w:vAlign w:val="center"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D51AF">
              <w:rPr>
                <w:rFonts w:cstheme="minorHAnsi"/>
                <w:b/>
                <w:color w:val="000000" w:themeColor="text1"/>
                <w:sz w:val="24"/>
                <w:szCs w:val="24"/>
              </w:rPr>
              <w:t>stdErr</w:t>
            </w:r>
            <w:proofErr w:type="spellEnd"/>
          </w:p>
        </w:tc>
        <w:tc>
          <w:tcPr>
            <w:tcW w:w="1220" w:type="dxa"/>
            <w:shd w:val="clear" w:color="auto" w:fill="F2F2F2" w:themeFill="background1" w:themeFillShade="F2"/>
            <w:noWrap/>
            <w:vAlign w:val="center"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SD </w:t>
            </w:r>
            <w:r w:rsidRPr="00DD51AF">
              <w:rPr>
                <w:rFonts w:cstheme="minorHAnsi"/>
                <w:b/>
                <w:color w:val="000000" w:themeColor="text1"/>
                <w:sz w:val="24"/>
                <w:szCs w:val="24"/>
              </w:rPr>
              <w:t>Int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e</w:t>
            </w:r>
            <w:r w:rsidRPr="00DD51AF">
              <w:rPr>
                <w:rFonts w:cstheme="minorHAnsi"/>
                <w:b/>
                <w:color w:val="000000" w:themeColor="text1"/>
                <w:sz w:val="24"/>
                <w:szCs w:val="24"/>
              </w:rPr>
              <w:t>rc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e</w:t>
            </w:r>
            <w:r w:rsidRPr="00DD51AF">
              <w:rPr>
                <w:rFonts w:cstheme="minorHAnsi"/>
                <w:b/>
                <w:color w:val="000000" w:themeColor="text1"/>
                <w:sz w:val="24"/>
                <w:szCs w:val="24"/>
              </w:rPr>
              <w:t>pt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(*)</w:t>
            </w:r>
          </w:p>
        </w:tc>
        <w:tc>
          <w:tcPr>
            <w:tcW w:w="1220" w:type="dxa"/>
            <w:shd w:val="clear" w:color="auto" w:fill="F2F2F2" w:themeFill="background1" w:themeFillShade="F2"/>
            <w:noWrap/>
            <w:vAlign w:val="center"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SD </w:t>
            </w:r>
            <w:r w:rsidRPr="00DD51AF">
              <w:rPr>
                <w:rFonts w:cstheme="minorHAnsi"/>
                <w:b/>
                <w:color w:val="000000" w:themeColor="text1"/>
                <w:sz w:val="24"/>
                <w:szCs w:val="24"/>
              </w:rPr>
              <w:t>Slope</w:t>
            </w:r>
          </w:p>
        </w:tc>
      </w:tr>
      <w:tr w:rsidR="008E5E2B" w:rsidRPr="00DD51AF" w:rsidTr="007138BF">
        <w:trPr>
          <w:trHeight w:val="300"/>
          <w:jc w:val="center"/>
        </w:trPr>
        <w:tc>
          <w:tcPr>
            <w:tcW w:w="1615" w:type="dxa"/>
            <w:shd w:val="clear" w:color="auto" w:fill="E7E6E6" w:themeFill="background2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All data</w:t>
            </w:r>
          </w:p>
        </w:tc>
        <w:tc>
          <w:tcPr>
            <w:tcW w:w="1220" w:type="dxa"/>
            <w:noWrap/>
            <w:vAlign w:val="bottom"/>
            <w:hideMark/>
          </w:tcPr>
          <w:p w:rsidR="008E5E2B" w:rsidRPr="00603BDB" w:rsidRDefault="008E5E2B" w:rsidP="007138B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03BDB">
              <w:rPr>
                <w:rFonts w:ascii="Calibri" w:hAnsi="Calibri" w:cs="Calibri"/>
                <w:color w:val="000000"/>
                <w:sz w:val="24"/>
                <w:szCs w:val="24"/>
              </w:rPr>
              <w:t>0.55</w:t>
            </w:r>
          </w:p>
        </w:tc>
        <w:tc>
          <w:tcPr>
            <w:tcW w:w="1480" w:type="dxa"/>
            <w:noWrap/>
            <w:vAlign w:val="bottom"/>
            <w:hideMark/>
          </w:tcPr>
          <w:p w:rsidR="008E5E2B" w:rsidRPr="00603BDB" w:rsidRDefault="008E5E2B" w:rsidP="007138B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03BDB">
              <w:rPr>
                <w:rFonts w:ascii="Calibri" w:hAnsi="Calibri" w:cs="Calibri"/>
                <w:color w:val="000000"/>
                <w:sz w:val="24"/>
                <w:szCs w:val="24"/>
              </w:rPr>
              <w:t>1.71</w:t>
            </w:r>
          </w:p>
        </w:tc>
        <w:tc>
          <w:tcPr>
            <w:tcW w:w="1440" w:type="dxa"/>
            <w:noWrap/>
            <w:vAlign w:val="bottom"/>
            <w:hideMark/>
          </w:tcPr>
          <w:p w:rsidR="008E5E2B" w:rsidRPr="00603BDB" w:rsidRDefault="008E5E2B" w:rsidP="007138B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03BDB">
              <w:rPr>
                <w:rFonts w:ascii="Calibri" w:hAnsi="Calibri" w:cs="Calibri"/>
                <w:color w:val="000000"/>
                <w:sz w:val="24"/>
                <w:szCs w:val="24"/>
              </w:rPr>
              <w:t>51.3</w:t>
            </w:r>
          </w:p>
        </w:tc>
        <w:tc>
          <w:tcPr>
            <w:tcW w:w="990" w:type="dxa"/>
            <w:noWrap/>
            <w:vAlign w:val="bottom"/>
            <w:hideMark/>
          </w:tcPr>
          <w:p w:rsidR="008E5E2B" w:rsidRPr="00603BDB" w:rsidRDefault="008E5E2B" w:rsidP="007138B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03BDB">
              <w:rPr>
                <w:rFonts w:ascii="Calibri" w:hAnsi="Calibri" w:cs="Calibri"/>
                <w:color w:val="000000"/>
                <w:sz w:val="24"/>
                <w:szCs w:val="24"/>
              </w:rPr>
              <w:t>0.66</w:t>
            </w:r>
          </w:p>
        </w:tc>
        <w:tc>
          <w:tcPr>
            <w:tcW w:w="970" w:type="dxa"/>
            <w:noWrap/>
            <w:vAlign w:val="bottom"/>
            <w:hideMark/>
          </w:tcPr>
          <w:p w:rsidR="008E5E2B" w:rsidRPr="00603BDB" w:rsidRDefault="008E5E2B" w:rsidP="007138B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03BDB">
              <w:rPr>
                <w:rFonts w:ascii="Calibri" w:hAnsi="Calibri" w:cs="Calibri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1220" w:type="dxa"/>
            <w:noWrap/>
            <w:vAlign w:val="bottom"/>
            <w:hideMark/>
          </w:tcPr>
          <w:p w:rsidR="008E5E2B" w:rsidRPr="00603BDB" w:rsidRDefault="008E5E2B" w:rsidP="007138B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03BDB">
              <w:rPr>
                <w:rFonts w:ascii="Calibri" w:hAnsi="Calibri" w:cs="Calibri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20" w:type="dxa"/>
            <w:noWrap/>
            <w:vAlign w:val="bottom"/>
            <w:hideMark/>
          </w:tcPr>
          <w:p w:rsidR="008E5E2B" w:rsidRPr="00603BDB" w:rsidRDefault="008E5E2B" w:rsidP="007138B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03BDB">
              <w:rPr>
                <w:rFonts w:ascii="Calibri" w:hAnsi="Calibri" w:cs="Calibri"/>
                <w:color w:val="000000"/>
                <w:sz w:val="24"/>
                <w:szCs w:val="24"/>
              </w:rPr>
              <w:t>0.0004</w:t>
            </w:r>
          </w:p>
        </w:tc>
        <w:tc>
          <w:tcPr>
            <w:tcW w:w="1220" w:type="dxa"/>
            <w:noWrap/>
            <w:vAlign w:val="bottom"/>
            <w:hideMark/>
          </w:tcPr>
          <w:p w:rsidR="008E5E2B" w:rsidRPr="00603BDB" w:rsidRDefault="008E5E2B" w:rsidP="007138B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03BDB">
              <w:rPr>
                <w:rFonts w:ascii="Calibri" w:hAnsi="Calibri" w:cs="Calibri"/>
                <w:color w:val="000000"/>
                <w:sz w:val="24"/>
                <w:szCs w:val="24"/>
              </w:rPr>
              <w:t>0.0001</w:t>
            </w:r>
          </w:p>
        </w:tc>
      </w:tr>
      <w:tr w:rsidR="008E5E2B" w:rsidRPr="00DD51AF" w:rsidTr="007138BF">
        <w:trPr>
          <w:trHeight w:val="300"/>
          <w:jc w:val="center"/>
        </w:trPr>
        <w:tc>
          <w:tcPr>
            <w:tcW w:w="1615" w:type="dxa"/>
            <w:shd w:val="clear" w:color="auto" w:fill="E7E6E6" w:themeFill="background2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b/>
                <w:color w:val="000000" w:themeColor="text1"/>
                <w:sz w:val="24"/>
                <w:szCs w:val="24"/>
              </w:rPr>
              <w:t>0_wd_25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0.55</w:t>
            </w:r>
          </w:p>
        </w:tc>
        <w:tc>
          <w:tcPr>
            <w:tcW w:w="148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1.79</w:t>
            </w:r>
          </w:p>
        </w:tc>
        <w:tc>
          <w:tcPr>
            <w:tcW w:w="144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61.7</w:t>
            </w:r>
          </w:p>
        </w:tc>
        <w:tc>
          <w:tcPr>
            <w:tcW w:w="99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0.73</w:t>
            </w:r>
          </w:p>
        </w:tc>
        <w:tc>
          <w:tcPr>
            <w:tcW w:w="97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388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0.02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0.0011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0.0003</w:t>
            </w:r>
          </w:p>
        </w:tc>
      </w:tr>
      <w:tr w:rsidR="008E5E2B" w:rsidRPr="00DD51AF" w:rsidTr="007138BF">
        <w:trPr>
          <w:trHeight w:val="300"/>
          <w:jc w:val="center"/>
        </w:trPr>
        <w:tc>
          <w:tcPr>
            <w:tcW w:w="1615" w:type="dxa"/>
            <w:shd w:val="clear" w:color="auto" w:fill="E7E6E6" w:themeFill="background2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b/>
                <w:color w:val="000000" w:themeColor="text1"/>
                <w:sz w:val="24"/>
                <w:szCs w:val="24"/>
              </w:rPr>
              <w:t>25_wd_80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0.54</w:t>
            </w:r>
          </w:p>
        </w:tc>
        <w:tc>
          <w:tcPr>
            <w:tcW w:w="148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2.16</w:t>
            </w:r>
          </w:p>
        </w:tc>
        <w:tc>
          <w:tcPr>
            <w:tcW w:w="144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144.5</w:t>
            </w:r>
          </w:p>
        </w:tc>
        <w:tc>
          <w:tcPr>
            <w:tcW w:w="99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0.66</w:t>
            </w:r>
          </w:p>
        </w:tc>
        <w:tc>
          <w:tcPr>
            <w:tcW w:w="97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156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0.03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0.0027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0.0008</w:t>
            </w:r>
          </w:p>
        </w:tc>
      </w:tr>
      <w:tr w:rsidR="008E5E2B" w:rsidRPr="00DD51AF" w:rsidTr="007138BF">
        <w:trPr>
          <w:trHeight w:val="300"/>
          <w:jc w:val="center"/>
        </w:trPr>
        <w:tc>
          <w:tcPr>
            <w:tcW w:w="1615" w:type="dxa"/>
            <w:shd w:val="clear" w:color="auto" w:fill="E7E6E6" w:themeFill="background2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b/>
                <w:color w:val="000000" w:themeColor="text1"/>
                <w:sz w:val="24"/>
                <w:szCs w:val="24"/>
              </w:rPr>
              <w:t>80_wd_300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0.61</w:t>
            </w:r>
          </w:p>
        </w:tc>
        <w:tc>
          <w:tcPr>
            <w:tcW w:w="148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2.05</w:t>
            </w:r>
          </w:p>
        </w:tc>
        <w:tc>
          <w:tcPr>
            <w:tcW w:w="144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112.2</w:t>
            </w:r>
          </w:p>
        </w:tc>
        <w:tc>
          <w:tcPr>
            <w:tcW w:w="99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0.74</w:t>
            </w:r>
          </w:p>
        </w:tc>
        <w:tc>
          <w:tcPr>
            <w:tcW w:w="97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0.04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0.0064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0.0017</w:t>
            </w:r>
          </w:p>
        </w:tc>
      </w:tr>
      <w:tr w:rsidR="008E5E2B" w:rsidRPr="00DD51AF" w:rsidTr="007138BF">
        <w:trPr>
          <w:trHeight w:val="300"/>
          <w:jc w:val="center"/>
        </w:trPr>
        <w:tc>
          <w:tcPr>
            <w:tcW w:w="1615" w:type="dxa"/>
            <w:shd w:val="clear" w:color="auto" w:fill="E7E6E6" w:themeFill="background2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b/>
                <w:color w:val="000000" w:themeColor="text1"/>
                <w:sz w:val="24"/>
                <w:szCs w:val="24"/>
              </w:rPr>
              <w:t>300_wd_4000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0.49</w:t>
            </w:r>
          </w:p>
        </w:tc>
        <w:tc>
          <w:tcPr>
            <w:tcW w:w="148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0.45</w:t>
            </w:r>
          </w:p>
        </w:tc>
        <w:tc>
          <w:tcPr>
            <w:tcW w:w="144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2.8</w:t>
            </w:r>
          </w:p>
        </w:tc>
        <w:tc>
          <w:tcPr>
            <w:tcW w:w="99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97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114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0.05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0.0063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0.0016</w:t>
            </w:r>
          </w:p>
        </w:tc>
      </w:tr>
      <w:tr w:rsidR="008E5E2B" w:rsidRPr="00DD51AF" w:rsidTr="007138BF">
        <w:trPr>
          <w:trHeight w:val="300"/>
          <w:jc w:val="center"/>
        </w:trPr>
        <w:tc>
          <w:tcPr>
            <w:tcW w:w="1615" w:type="dxa"/>
            <w:shd w:val="clear" w:color="auto" w:fill="E7E6E6" w:themeFill="background2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b/>
                <w:color w:val="000000" w:themeColor="text1"/>
                <w:sz w:val="24"/>
                <w:szCs w:val="24"/>
              </w:rPr>
              <w:t>shoreline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0.57</w:t>
            </w:r>
          </w:p>
        </w:tc>
        <w:tc>
          <w:tcPr>
            <w:tcW w:w="148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1.87</w:t>
            </w:r>
          </w:p>
        </w:tc>
        <w:tc>
          <w:tcPr>
            <w:tcW w:w="144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74.1</w:t>
            </w:r>
          </w:p>
        </w:tc>
        <w:tc>
          <w:tcPr>
            <w:tcW w:w="99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0.79</w:t>
            </w:r>
          </w:p>
        </w:tc>
        <w:tc>
          <w:tcPr>
            <w:tcW w:w="97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163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0.02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0.0018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0.0005</w:t>
            </w:r>
          </w:p>
        </w:tc>
      </w:tr>
      <w:tr w:rsidR="008E5E2B" w:rsidRPr="00DD51AF" w:rsidTr="007138BF">
        <w:trPr>
          <w:trHeight w:val="300"/>
          <w:jc w:val="center"/>
        </w:trPr>
        <w:tc>
          <w:tcPr>
            <w:tcW w:w="1615" w:type="dxa"/>
            <w:shd w:val="clear" w:color="auto" w:fill="E7E6E6" w:themeFill="background2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b/>
                <w:color w:val="000000" w:themeColor="text1"/>
                <w:sz w:val="24"/>
                <w:szCs w:val="24"/>
              </w:rPr>
              <w:t>bay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0.43</w:t>
            </w:r>
          </w:p>
        </w:tc>
        <w:tc>
          <w:tcPr>
            <w:tcW w:w="148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1.24</w:t>
            </w:r>
          </w:p>
        </w:tc>
        <w:tc>
          <w:tcPr>
            <w:tcW w:w="144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17.4</w:t>
            </w:r>
          </w:p>
        </w:tc>
        <w:tc>
          <w:tcPr>
            <w:tcW w:w="99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0.55</w:t>
            </w:r>
          </w:p>
        </w:tc>
        <w:tc>
          <w:tcPr>
            <w:tcW w:w="97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0.06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0.0153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0.0038</w:t>
            </w:r>
          </w:p>
        </w:tc>
      </w:tr>
      <w:tr w:rsidR="008E5E2B" w:rsidRPr="00DD51AF" w:rsidTr="007138BF">
        <w:trPr>
          <w:trHeight w:val="300"/>
          <w:jc w:val="center"/>
        </w:trPr>
        <w:tc>
          <w:tcPr>
            <w:tcW w:w="1615" w:type="dxa"/>
            <w:shd w:val="clear" w:color="auto" w:fill="E7E6E6" w:themeFill="background2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D51AF">
              <w:rPr>
                <w:rFonts w:cstheme="minorHAnsi"/>
                <w:b/>
                <w:color w:val="000000" w:themeColor="text1"/>
                <w:sz w:val="24"/>
                <w:szCs w:val="24"/>
              </w:rPr>
              <w:t>prodelta</w:t>
            </w:r>
            <w:proofErr w:type="spellEnd"/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0.48</w:t>
            </w:r>
          </w:p>
        </w:tc>
        <w:tc>
          <w:tcPr>
            <w:tcW w:w="148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144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316.2</w:t>
            </w:r>
          </w:p>
        </w:tc>
        <w:tc>
          <w:tcPr>
            <w:tcW w:w="99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0.75</w:t>
            </w:r>
          </w:p>
        </w:tc>
        <w:tc>
          <w:tcPr>
            <w:tcW w:w="97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0.03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0.0037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0.0010</w:t>
            </w:r>
          </w:p>
        </w:tc>
      </w:tr>
      <w:tr w:rsidR="008E5E2B" w:rsidRPr="00DD51AF" w:rsidTr="007138BF">
        <w:trPr>
          <w:trHeight w:val="300"/>
          <w:jc w:val="center"/>
        </w:trPr>
        <w:tc>
          <w:tcPr>
            <w:tcW w:w="1615" w:type="dxa"/>
            <w:shd w:val="clear" w:color="auto" w:fill="E7E6E6" w:themeFill="background2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b/>
                <w:color w:val="000000" w:themeColor="text1"/>
                <w:sz w:val="24"/>
                <w:szCs w:val="24"/>
              </w:rPr>
              <w:t>shelf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0.56</w:t>
            </w:r>
          </w:p>
        </w:tc>
        <w:tc>
          <w:tcPr>
            <w:tcW w:w="148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1.74</w:t>
            </w:r>
          </w:p>
        </w:tc>
        <w:tc>
          <w:tcPr>
            <w:tcW w:w="144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55.0</w:t>
            </w:r>
          </w:p>
        </w:tc>
        <w:tc>
          <w:tcPr>
            <w:tcW w:w="99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0.67</w:t>
            </w:r>
          </w:p>
        </w:tc>
        <w:tc>
          <w:tcPr>
            <w:tcW w:w="97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292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0.02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0.0012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0.0003</w:t>
            </w:r>
          </w:p>
        </w:tc>
      </w:tr>
      <w:tr w:rsidR="008E5E2B" w:rsidRPr="00DD51AF" w:rsidTr="007138BF">
        <w:trPr>
          <w:trHeight w:val="300"/>
          <w:jc w:val="center"/>
        </w:trPr>
        <w:tc>
          <w:tcPr>
            <w:tcW w:w="1615" w:type="dxa"/>
            <w:shd w:val="clear" w:color="auto" w:fill="E7E6E6" w:themeFill="background2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b/>
                <w:color w:val="000000" w:themeColor="text1"/>
                <w:sz w:val="24"/>
                <w:szCs w:val="24"/>
              </w:rPr>
              <w:t>deeps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0.45</w:t>
            </w:r>
          </w:p>
        </w:tc>
        <w:tc>
          <w:tcPr>
            <w:tcW w:w="148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-0.16</w:t>
            </w:r>
          </w:p>
        </w:tc>
        <w:tc>
          <w:tcPr>
            <w:tcW w:w="144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0.7</w:t>
            </w:r>
          </w:p>
        </w:tc>
        <w:tc>
          <w:tcPr>
            <w:tcW w:w="99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0.68</w:t>
            </w:r>
          </w:p>
        </w:tc>
        <w:tc>
          <w:tcPr>
            <w:tcW w:w="97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0.04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0.0063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0.0015</w:t>
            </w:r>
          </w:p>
        </w:tc>
      </w:tr>
      <w:tr w:rsidR="008E5E2B" w:rsidRPr="00DD51AF" w:rsidTr="007138BF">
        <w:trPr>
          <w:trHeight w:val="300"/>
          <w:jc w:val="center"/>
        </w:trPr>
        <w:tc>
          <w:tcPr>
            <w:tcW w:w="1615" w:type="dxa"/>
            <w:shd w:val="clear" w:color="auto" w:fill="E7E6E6" w:themeFill="background2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b/>
                <w:color w:val="000000" w:themeColor="text1"/>
                <w:sz w:val="24"/>
                <w:szCs w:val="24"/>
              </w:rPr>
              <w:t>canyon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0.61</w:t>
            </w:r>
          </w:p>
        </w:tc>
        <w:tc>
          <w:tcPr>
            <w:tcW w:w="148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1.84</w:t>
            </w:r>
          </w:p>
        </w:tc>
        <w:tc>
          <w:tcPr>
            <w:tcW w:w="144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69.2</w:t>
            </w:r>
          </w:p>
        </w:tc>
        <w:tc>
          <w:tcPr>
            <w:tcW w:w="99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0.55</w:t>
            </w:r>
          </w:p>
        </w:tc>
        <w:tc>
          <w:tcPr>
            <w:tcW w:w="97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0.11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0.0371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0.0100</w:t>
            </w:r>
          </w:p>
        </w:tc>
      </w:tr>
      <w:tr w:rsidR="008E5E2B" w:rsidRPr="00DD51AF" w:rsidTr="007138BF">
        <w:trPr>
          <w:trHeight w:val="300"/>
          <w:jc w:val="center"/>
        </w:trPr>
        <w:tc>
          <w:tcPr>
            <w:tcW w:w="1615" w:type="dxa"/>
            <w:shd w:val="clear" w:color="auto" w:fill="E7E6E6" w:themeFill="background2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b/>
                <w:color w:val="000000" w:themeColor="text1"/>
                <w:sz w:val="24"/>
                <w:szCs w:val="24"/>
              </w:rPr>
              <w:t>0_mud_33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0.54</w:t>
            </w:r>
          </w:p>
        </w:tc>
        <w:tc>
          <w:tcPr>
            <w:tcW w:w="148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1.44</w:t>
            </w:r>
          </w:p>
        </w:tc>
        <w:tc>
          <w:tcPr>
            <w:tcW w:w="144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99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0.64</w:t>
            </w:r>
          </w:p>
        </w:tc>
        <w:tc>
          <w:tcPr>
            <w:tcW w:w="97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0.05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0.0082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0.0018</w:t>
            </w:r>
          </w:p>
        </w:tc>
      </w:tr>
      <w:tr w:rsidR="008E5E2B" w:rsidRPr="00DD51AF" w:rsidTr="007138BF">
        <w:trPr>
          <w:trHeight w:val="300"/>
          <w:jc w:val="center"/>
        </w:trPr>
        <w:tc>
          <w:tcPr>
            <w:tcW w:w="1615" w:type="dxa"/>
            <w:shd w:val="clear" w:color="auto" w:fill="E7E6E6" w:themeFill="background2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b/>
                <w:color w:val="000000" w:themeColor="text1"/>
                <w:sz w:val="24"/>
                <w:szCs w:val="24"/>
              </w:rPr>
              <w:t>33_mud_66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0.56</w:t>
            </w:r>
          </w:p>
        </w:tc>
        <w:tc>
          <w:tcPr>
            <w:tcW w:w="148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1.61</w:t>
            </w:r>
          </w:p>
        </w:tc>
        <w:tc>
          <w:tcPr>
            <w:tcW w:w="144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40.7</w:t>
            </w:r>
          </w:p>
        </w:tc>
        <w:tc>
          <w:tcPr>
            <w:tcW w:w="99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0.75</w:t>
            </w:r>
          </w:p>
        </w:tc>
        <w:tc>
          <w:tcPr>
            <w:tcW w:w="97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0.03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0.0030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0.0008</w:t>
            </w:r>
          </w:p>
        </w:tc>
      </w:tr>
      <w:tr w:rsidR="008E5E2B" w:rsidRPr="00DD51AF" w:rsidTr="007138BF">
        <w:trPr>
          <w:trHeight w:val="300"/>
          <w:jc w:val="center"/>
        </w:trPr>
        <w:tc>
          <w:tcPr>
            <w:tcW w:w="1615" w:type="dxa"/>
            <w:shd w:val="clear" w:color="auto" w:fill="E7E6E6" w:themeFill="background2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b/>
                <w:color w:val="000000" w:themeColor="text1"/>
                <w:sz w:val="24"/>
                <w:szCs w:val="24"/>
              </w:rPr>
              <w:t>66_mud_100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0.56</w:t>
            </w:r>
          </w:p>
        </w:tc>
        <w:tc>
          <w:tcPr>
            <w:tcW w:w="148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1.8</w:t>
            </w:r>
          </w:p>
        </w:tc>
        <w:tc>
          <w:tcPr>
            <w:tcW w:w="144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63.1</w:t>
            </w:r>
          </w:p>
        </w:tc>
        <w:tc>
          <w:tcPr>
            <w:tcW w:w="99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0.66</w:t>
            </w:r>
          </w:p>
        </w:tc>
        <w:tc>
          <w:tcPr>
            <w:tcW w:w="97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436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0.02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0.0010</w:t>
            </w:r>
          </w:p>
        </w:tc>
        <w:tc>
          <w:tcPr>
            <w:tcW w:w="1220" w:type="dxa"/>
            <w:noWrap/>
            <w:hideMark/>
          </w:tcPr>
          <w:p w:rsidR="008E5E2B" w:rsidRPr="00DD51AF" w:rsidRDefault="008E5E2B" w:rsidP="007138BF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51AF">
              <w:rPr>
                <w:rFonts w:cstheme="minorHAnsi"/>
                <w:color w:val="000000" w:themeColor="text1"/>
                <w:sz w:val="24"/>
                <w:szCs w:val="24"/>
              </w:rPr>
              <w:t>0.0003</w:t>
            </w:r>
          </w:p>
        </w:tc>
      </w:tr>
    </w:tbl>
    <w:p w:rsidR="008E5E2B" w:rsidRDefault="008E5E2B" w:rsidP="008E5E2B"/>
    <w:p w:rsidR="008E5E2B" w:rsidRDefault="008E5E2B" w:rsidP="00927215">
      <w:pPr>
        <w:spacing w:line="480" w:lineRule="auto"/>
        <w:rPr>
          <w:rFonts w:cstheme="minorHAnsi"/>
          <w:color w:val="000000" w:themeColor="text1"/>
          <w:sz w:val="24"/>
          <w:szCs w:val="24"/>
        </w:rPr>
        <w:sectPr w:rsidR="008E5E2B" w:rsidSect="008E5E2B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8E5E2B" w:rsidRPr="005B2AA0" w:rsidRDefault="008E5E2B" w:rsidP="00927215">
      <w:pPr>
        <w:spacing w:line="480" w:lineRule="auto"/>
        <w:rPr>
          <w:rFonts w:cstheme="minorHAnsi"/>
          <w:color w:val="000000" w:themeColor="text1"/>
          <w:sz w:val="24"/>
          <w:szCs w:val="24"/>
        </w:rPr>
      </w:pPr>
    </w:p>
    <w:p w:rsidR="00927215" w:rsidRPr="008B088A" w:rsidRDefault="00927215" w:rsidP="00927215">
      <w:pPr>
        <w:spacing w:line="48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8B088A">
        <w:rPr>
          <w:rFonts w:cstheme="minorHAnsi"/>
          <w:b/>
          <w:color w:val="000000" w:themeColor="text1"/>
          <w:sz w:val="24"/>
          <w:szCs w:val="24"/>
        </w:rPr>
        <w:t>Supplementary: Data References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r w:rsidRPr="008B088A">
        <w:rPr>
          <w:rFonts w:cstheme="minorHAnsi"/>
          <w:color w:val="000000" w:themeColor="text1"/>
          <w:sz w:val="24"/>
          <w:szCs w:val="24"/>
        </w:rPr>
        <w:t xml:space="preserve">Allison, M.A., Bianchi, T.S., McKee, B.A., and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Sampere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 xml:space="preserve">, T.P. 2007, Carbon burial on river-dominated continental shelves: Impact of historical changes in sediment loading adjacent to the Mississippi River: Geophysical Research Letters, v. 34, </w:t>
      </w:r>
      <w:r w:rsidR="00283DDC">
        <w:rPr>
          <w:rFonts w:cstheme="minorHAnsi"/>
          <w:color w:val="000000" w:themeColor="text1"/>
          <w:sz w:val="24"/>
          <w:szCs w:val="24"/>
        </w:rPr>
        <w:t>no</w:t>
      </w:r>
      <w:r w:rsidRPr="008B088A">
        <w:rPr>
          <w:rFonts w:cstheme="minorHAnsi"/>
          <w:color w:val="000000" w:themeColor="text1"/>
          <w:sz w:val="24"/>
          <w:szCs w:val="24"/>
        </w:rPr>
        <w:t xml:space="preserve">. L01606,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doi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>: 10.1029/2006GL028362.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r w:rsidRPr="008B088A">
        <w:rPr>
          <w:rFonts w:cstheme="minorHAnsi"/>
          <w:color w:val="000000" w:themeColor="text1"/>
          <w:sz w:val="24"/>
          <w:szCs w:val="24"/>
        </w:rPr>
        <w:t xml:space="preserve">Allison, M.A.,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Dellapenna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 xml:space="preserve">, T.M., Gordon, E.S.,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Mitra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 xml:space="preserve">, S., and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Petsch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 xml:space="preserve">, S.T. 2010, Impact of Hurricane Katrina (2005) on shelf organic carbon burial and deltaic evolution: Geophysical Research Letters, v. 37, p. L21605,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doi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>: 10.1029/2010GL044547.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r w:rsidRPr="008B088A">
        <w:rPr>
          <w:rFonts w:cstheme="minorHAnsi"/>
          <w:color w:val="000000" w:themeColor="text1"/>
          <w:sz w:val="24"/>
          <w:szCs w:val="24"/>
        </w:rPr>
        <w:t xml:space="preserve">Allison, M.A.,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Kineke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 xml:space="preserve">, G.C., Gordon, E.S., and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Go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>ñ</w:t>
      </w:r>
      <w:r w:rsidRPr="008B088A">
        <w:rPr>
          <w:rFonts w:cstheme="minorHAnsi"/>
          <w:color w:val="000000" w:themeColor="text1"/>
          <w:sz w:val="24"/>
          <w:szCs w:val="24"/>
        </w:rPr>
        <w:t>i</w:t>
      </w:r>
      <w:proofErr w:type="spellEnd"/>
      <w:r w:rsidR="0012604F">
        <w:rPr>
          <w:rFonts w:cstheme="minorHAnsi"/>
          <w:color w:val="000000" w:themeColor="text1"/>
          <w:sz w:val="24"/>
          <w:szCs w:val="24"/>
        </w:rPr>
        <w:t>,</w:t>
      </w:r>
      <w:r w:rsidRPr="008B088A">
        <w:rPr>
          <w:rFonts w:cstheme="minorHAnsi"/>
          <w:color w:val="000000" w:themeColor="text1"/>
          <w:sz w:val="24"/>
          <w:szCs w:val="24"/>
        </w:rPr>
        <w:t xml:space="preserve"> M.A. 2000, Development and reworking of a seasonal mud deposit on the inner continental shelf off the Atchafalaya River: Continental Shelf Research, v. 20, p. 2267-2294.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r w:rsidRPr="008B088A">
        <w:rPr>
          <w:rFonts w:cstheme="minorHAnsi"/>
          <w:color w:val="000000" w:themeColor="text1"/>
          <w:sz w:val="24"/>
          <w:szCs w:val="24"/>
        </w:rPr>
        <w:t>Anderson, J.B., and Rodriguez, A.B. 2008. Response of Upper Gulf Coast Estuaries to Holocene Climate Change and Sea-level Rise: Geological Society of America Special Paper 443, 146 pp</w:t>
      </w:r>
      <w:r w:rsidR="0012604F">
        <w:rPr>
          <w:rFonts w:cstheme="minorHAnsi"/>
          <w:color w:val="000000" w:themeColor="text1"/>
          <w:sz w:val="24"/>
          <w:szCs w:val="24"/>
        </w:rPr>
        <w:t>.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r w:rsidRPr="008B088A">
        <w:rPr>
          <w:rFonts w:cstheme="minorHAnsi"/>
          <w:color w:val="000000" w:themeColor="text1"/>
          <w:sz w:val="24"/>
          <w:szCs w:val="24"/>
        </w:rPr>
        <w:t>Bentley, S.J., Furukawa, Y., and Vaughan, W.C. 2000, Record of Event Sedimentation in Mississippi Sound: Gulf Coast Association of Geological Societies Transactions, v. 50, p. 715-724.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r w:rsidRPr="008B088A">
        <w:rPr>
          <w:rFonts w:cstheme="minorHAnsi"/>
          <w:color w:val="000000" w:themeColor="text1"/>
          <w:sz w:val="24"/>
          <w:szCs w:val="24"/>
        </w:rPr>
        <w:t>Bentley, S.J., Keen, T.R., Blain, C.A., and Vaughan W.C. 2002, The origin and preservation of a major hurricane event bed in the northern Gulf of Mexico: Hurricane Camille, 1969: Marine Geology, v. 186(3–4), p. 423–446.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r w:rsidRPr="008B088A">
        <w:rPr>
          <w:rFonts w:cstheme="minorHAnsi"/>
          <w:color w:val="000000" w:themeColor="text1"/>
          <w:sz w:val="24"/>
          <w:szCs w:val="24"/>
        </w:rPr>
        <w:lastRenderedPageBreak/>
        <w:t xml:space="preserve">Bianchi, T.S., Allison, M.A.,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Canuel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 xml:space="preserve">, E.A., Corbett, D.R., McKee, B.A.,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Sampere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 xml:space="preserve">, T.P.,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Wakeham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>, S.G., and Waterson, E. 2006, Rapid Export of Organic Matter to the Mississippi Canyon: EOS, v. 87(50), p. 565–573.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r w:rsidRPr="008B088A">
        <w:rPr>
          <w:rFonts w:cstheme="minorHAnsi"/>
          <w:color w:val="000000" w:themeColor="text1"/>
          <w:sz w:val="24"/>
          <w:szCs w:val="24"/>
        </w:rPr>
        <w:t xml:space="preserve">Bianchi, T.S.,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Mitra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>, S., and McKee, B.A. 2002, Sources of terrestrially-derived organic carbon in lower Mississippi River and Louisiana shelf sediments: implications for differential sedimentation and transport at the coastal margin: Marine Chemistry, v. 77, p. 211-223.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Bregy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 xml:space="preserve">, J.C. 2016, Determining the Viability of Recent Storms as Modern Analogues for North- Central Gulf of Mexico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Paleotempestology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 xml:space="preserve"> through Sedimentary Analysis and Storm Surge Reconstruction: University of Southern Mississippi</w:t>
      </w:r>
      <w:r w:rsidR="0012604F">
        <w:rPr>
          <w:rFonts w:cstheme="minorHAnsi"/>
          <w:color w:val="000000" w:themeColor="text1"/>
          <w:sz w:val="24"/>
          <w:szCs w:val="24"/>
        </w:rPr>
        <w:t>, Mississippi, USA,</w:t>
      </w:r>
      <w:r w:rsidRPr="008B088A">
        <w:rPr>
          <w:rFonts w:cstheme="minorHAnsi"/>
          <w:color w:val="000000" w:themeColor="text1"/>
          <w:sz w:val="24"/>
          <w:szCs w:val="24"/>
        </w:rPr>
        <w:t xml:space="preserve"> Master's Theses, Paper </w:t>
      </w:r>
      <w:r w:rsidR="0012604F">
        <w:rPr>
          <w:rFonts w:cstheme="minorHAnsi"/>
          <w:color w:val="000000" w:themeColor="text1"/>
          <w:sz w:val="24"/>
          <w:szCs w:val="24"/>
        </w:rPr>
        <w:t xml:space="preserve">no. </w:t>
      </w:r>
      <w:r w:rsidRPr="008B088A">
        <w:rPr>
          <w:rFonts w:cstheme="minorHAnsi"/>
          <w:color w:val="000000" w:themeColor="text1"/>
          <w:sz w:val="24"/>
          <w:szCs w:val="24"/>
        </w:rPr>
        <w:t xml:space="preserve">198, 64 pp., [Available: </w:t>
      </w:r>
      <w:hyperlink r:id="rId5" w:history="1">
        <w:r w:rsidRPr="008B088A">
          <w:rPr>
            <w:rStyle w:val="Hyperlink"/>
            <w:rFonts w:cstheme="minorHAnsi"/>
            <w:sz w:val="24"/>
            <w:szCs w:val="24"/>
          </w:rPr>
          <w:t>http://aquila.usm.edu/masters_theses/198</w:t>
        </w:r>
      </w:hyperlink>
      <w:r w:rsidRPr="008B088A">
        <w:rPr>
          <w:rFonts w:cstheme="minorHAnsi"/>
          <w:color w:val="000000" w:themeColor="text1"/>
          <w:sz w:val="24"/>
          <w:szCs w:val="24"/>
        </w:rPr>
        <w:t xml:space="preserve"> , accessed 07 December 2016].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r w:rsidRPr="008B088A">
        <w:rPr>
          <w:rFonts w:cstheme="minorHAnsi"/>
          <w:color w:val="000000" w:themeColor="text1"/>
          <w:sz w:val="24"/>
          <w:szCs w:val="24"/>
        </w:rPr>
        <w:t xml:space="preserve">Brooks, G.R., Larson, R.A., Schwing, P.T., Romero, I., Moore, C.,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Reichart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 xml:space="preserve">, G.-J.,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Jilbert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 xml:space="preserve">, T.,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Chanton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 xml:space="preserve">, J.P., Hastings, D.W., Overholt, W.A., Marks, K.P.,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Kostka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 xml:space="preserve">, J.E., Holmes, C.W., and Hollander, D. 2015, Sedimentation Pulse in the NE Gulf of Mexico following the 2010 DWH Blowout: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PLoS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 xml:space="preserve"> ONE, v. 10(7), </w:t>
      </w:r>
      <w:r w:rsidR="0012604F">
        <w:rPr>
          <w:rFonts w:cstheme="minorHAnsi"/>
          <w:color w:val="000000" w:themeColor="text1"/>
          <w:sz w:val="24"/>
          <w:szCs w:val="24"/>
        </w:rPr>
        <w:t>no</w:t>
      </w:r>
      <w:r w:rsidRPr="008B088A">
        <w:rPr>
          <w:rFonts w:cstheme="minorHAnsi"/>
          <w:color w:val="000000" w:themeColor="text1"/>
          <w:sz w:val="24"/>
          <w:szCs w:val="24"/>
        </w:rPr>
        <w:t xml:space="preserve">. e0132341,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doi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>: 10.1371/journal.pone.0132341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r w:rsidRPr="008B088A">
        <w:rPr>
          <w:rFonts w:cstheme="minorHAnsi"/>
          <w:color w:val="000000" w:themeColor="text1"/>
          <w:sz w:val="24"/>
          <w:szCs w:val="24"/>
        </w:rPr>
        <w:t xml:space="preserve">Chmura, G.L., and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Kosters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 xml:space="preserve">, E.C. 1994, Storm Deposition and </w:t>
      </w:r>
      <w:r w:rsidRPr="008B088A">
        <w:rPr>
          <w:rFonts w:cstheme="minorHAnsi"/>
          <w:color w:val="000000" w:themeColor="text1"/>
          <w:sz w:val="24"/>
          <w:szCs w:val="24"/>
          <w:vertAlign w:val="superscript"/>
        </w:rPr>
        <w:t>137</w:t>
      </w:r>
      <w:r w:rsidRPr="008B088A">
        <w:rPr>
          <w:rFonts w:cstheme="minorHAnsi"/>
          <w:color w:val="000000" w:themeColor="text1"/>
          <w:sz w:val="24"/>
          <w:szCs w:val="24"/>
        </w:rPr>
        <w:t xml:space="preserve">Cs Accumulation in Fine-grained Marsh Sediments of the Mississippi Delta Plain: Estuarine, Coastal and Shelf Science, v. 39, p. 33-44. 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r w:rsidRPr="008B088A">
        <w:rPr>
          <w:rFonts w:cstheme="minorHAnsi"/>
          <w:color w:val="000000" w:themeColor="text1"/>
          <w:sz w:val="24"/>
          <w:szCs w:val="24"/>
        </w:rPr>
        <w:t xml:space="preserve">Continental Shelf Associates, Inc. 2004, Final Report. Gulf of Mexico Comprehensive Synthetic Based Muds Monitoring Program. Volume II: Technical. October 2004: Prepared for SSM Research Group by Continental Shelf Associates Inc., Jupiter, Florida, </w:t>
      </w:r>
      <w:r w:rsidR="0012604F">
        <w:rPr>
          <w:rFonts w:cstheme="minorHAnsi"/>
          <w:color w:val="000000" w:themeColor="text1"/>
          <w:sz w:val="24"/>
          <w:szCs w:val="24"/>
        </w:rPr>
        <w:t xml:space="preserve">USA, </w:t>
      </w:r>
      <w:r w:rsidRPr="008B088A">
        <w:rPr>
          <w:rFonts w:cstheme="minorHAnsi"/>
          <w:color w:val="000000" w:themeColor="text1"/>
          <w:sz w:val="24"/>
          <w:szCs w:val="24"/>
        </w:rPr>
        <w:t>358 pp.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r w:rsidRPr="008B088A">
        <w:rPr>
          <w:rFonts w:cstheme="minorHAnsi"/>
          <w:color w:val="000000" w:themeColor="text1"/>
          <w:sz w:val="24"/>
          <w:szCs w:val="24"/>
        </w:rPr>
        <w:lastRenderedPageBreak/>
        <w:t xml:space="preserve">Continental Shelf Associates, Inc. 2004, Final Report. Gulf of Mexico Comprehensive Synthetic Based Muds Monitoring Program: Prepared for SBM Research Group, 14 pp, Available: </w:t>
      </w:r>
      <w:hyperlink r:id="rId6" w:history="1">
        <w:r w:rsidRPr="008B088A">
          <w:rPr>
            <w:rStyle w:val="Hyperlink"/>
            <w:rFonts w:cstheme="minorHAnsi"/>
            <w:sz w:val="24"/>
            <w:szCs w:val="24"/>
          </w:rPr>
          <w:t>http://www.nodc.noaa.gov/archive/arc0031/0069470/1.1/data/0-data/Executive%20Summary%20Volume.pdf</w:t>
        </w:r>
      </w:hyperlink>
      <w:r w:rsidRPr="008B088A">
        <w:rPr>
          <w:rFonts w:cstheme="minorHAnsi"/>
          <w:color w:val="000000" w:themeColor="text1"/>
          <w:sz w:val="24"/>
          <w:szCs w:val="24"/>
        </w:rPr>
        <w:t>, Accessed 06 Dec 2016.</w:t>
      </w:r>
    </w:p>
    <w:p w:rsidR="00927215" w:rsidRPr="008B088A" w:rsidRDefault="00927215" w:rsidP="00927215">
      <w:pPr>
        <w:spacing w:after="0" w:line="480" w:lineRule="auto"/>
        <w:ind w:left="440" w:right="144" w:hanging="440"/>
        <w:rPr>
          <w:rFonts w:eastAsia="Times New Roman" w:cstheme="minorHAnsi"/>
          <w:color w:val="000000" w:themeColor="text1"/>
          <w:sz w:val="24"/>
          <w:szCs w:val="24"/>
        </w:rPr>
      </w:pPr>
      <w:r w:rsidRPr="008B088A">
        <w:rPr>
          <w:rFonts w:eastAsia="Times New Roman" w:cstheme="minorHAnsi"/>
          <w:color w:val="000000" w:themeColor="text1"/>
          <w:sz w:val="24"/>
          <w:szCs w:val="24"/>
        </w:rPr>
        <w:t xml:space="preserve">Corbett R., McKee, B.A., and Duncan, D. 2004, An evaluation of </w:t>
      </w:r>
      <w:r w:rsidRPr="008B088A">
        <w:rPr>
          <w:rFonts w:eastAsia="Times New Roman" w:cstheme="minorHAnsi"/>
          <w:color w:val="000000" w:themeColor="text1"/>
          <w:spacing w:val="-2"/>
          <w:sz w:val="24"/>
          <w:szCs w:val="24"/>
        </w:rPr>
        <w:t>m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 xml:space="preserve">obile </w:t>
      </w:r>
      <w:r w:rsidRPr="008B088A">
        <w:rPr>
          <w:rFonts w:eastAsia="Times New Roman" w:cstheme="minorHAnsi"/>
          <w:color w:val="000000" w:themeColor="text1"/>
          <w:spacing w:val="-2"/>
          <w:sz w:val="24"/>
          <w:szCs w:val="24"/>
        </w:rPr>
        <w:t>m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>ud dyn</w:t>
      </w:r>
      <w:r w:rsidRPr="008B088A">
        <w:rPr>
          <w:rFonts w:eastAsia="Times New Roman" w:cstheme="minorHAnsi"/>
          <w:color w:val="000000" w:themeColor="text1"/>
          <w:spacing w:val="1"/>
          <w:sz w:val="24"/>
          <w:szCs w:val="24"/>
        </w:rPr>
        <w:t>a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 xml:space="preserve">mics in the </w:t>
      </w:r>
      <w:r w:rsidRPr="008B088A">
        <w:rPr>
          <w:rFonts w:eastAsia="Times New Roman" w:cstheme="minorHAnsi"/>
          <w:color w:val="000000" w:themeColor="text1"/>
          <w:spacing w:val="-1"/>
          <w:sz w:val="24"/>
          <w:szCs w:val="24"/>
        </w:rPr>
        <w:t>M</w:t>
      </w:r>
      <w:r w:rsidRPr="008B088A">
        <w:rPr>
          <w:rFonts w:eastAsia="Times New Roman" w:cstheme="minorHAnsi"/>
          <w:color w:val="000000" w:themeColor="text1"/>
          <w:spacing w:val="1"/>
          <w:sz w:val="24"/>
          <w:szCs w:val="24"/>
        </w:rPr>
        <w:t>i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>s</w:t>
      </w:r>
      <w:r w:rsidRPr="008B088A">
        <w:rPr>
          <w:rFonts w:eastAsia="Times New Roman" w:cstheme="minorHAnsi"/>
          <w:color w:val="000000" w:themeColor="text1"/>
          <w:spacing w:val="-1"/>
          <w:sz w:val="24"/>
          <w:szCs w:val="24"/>
        </w:rPr>
        <w:t>s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>i</w:t>
      </w:r>
      <w:r w:rsidRPr="008B088A">
        <w:rPr>
          <w:rFonts w:eastAsia="Times New Roman" w:cstheme="minorHAnsi"/>
          <w:color w:val="000000" w:themeColor="text1"/>
          <w:spacing w:val="-1"/>
          <w:sz w:val="24"/>
          <w:szCs w:val="24"/>
        </w:rPr>
        <w:t>s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>sippi R</w:t>
      </w:r>
      <w:r w:rsidRPr="008B088A">
        <w:rPr>
          <w:rFonts w:eastAsia="Times New Roman" w:cstheme="minorHAnsi"/>
          <w:color w:val="000000" w:themeColor="text1"/>
          <w:spacing w:val="1"/>
          <w:sz w:val="24"/>
          <w:szCs w:val="24"/>
        </w:rPr>
        <w:t>i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>ver deltaic region:</w:t>
      </w:r>
      <w:r w:rsidRPr="008B088A">
        <w:rPr>
          <w:rFonts w:eastAsia="Times New Roman" w:cstheme="minorHAnsi"/>
          <w:color w:val="000000" w:themeColor="text1"/>
          <w:spacing w:val="-1"/>
          <w:sz w:val="24"/>
          <w:szCs w:val="24"/>
        </w:rPr>
        <w:t xml:space="preserve"> 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 xml:space="preserve">Marine </w:t>
      </w:r>
      <w:r w:rsidRPr="008B088A">
        <w:rPr>
          <w:rFonts w:eastAsia="Times New Roman" w:cstheme="minorHAnsi"/>
          <w:color w:val="000000" w:themeColor="text1"/>
          <w:spacing w:val="-2"/>
          <w:sz w:val="24"/>
          <w:szCs w:val="24"/>
        </w:rPr>
        <w:t>G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 xml:space="preserve">eology, </w:t>
      </w:r>
      <w:r w:rsidRPr="008B088A">
        <w:rPr>
          <w:rFonts w:cstheme="minorHAnsi"/>
          <w:color w:val="000000" w:themeColor="text1"/>
          <w:sz w:val="24"/>
          <w:szCs w:val="24"/>
        </w:rPr>
        <w:t xml:space="preserve">v. 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 xml:space="preserve">209, </w:t>
      </w:r>
      <w:r w:rsidRPr="008B088A">
        <w:rPr>
          <w:rFonts w:cstheme="minorHAnsi"/>
          <w:color w:val="000000" w:themeColor="text1"/>
          <w:sz w:val="24"/>
          <w:szCs w:val="24"/>
        </w:rPr>
        <w:t xml:space="preserve">p. 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>91-112.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r w:rsidRPr="008B088A">
        <w:rPr>
          <w:rFonts w:cstheme="minorHAnsi"/>
          <w:color w:val="000000" w:themeColor="text1"/>
          <w:sz w:val="24"/>
          <w:szCs w:val="24"/>
        </w:rPr>
        <w:t xml:space="preserve">Corbett, D.R.,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Dail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>, M., and McKee, B. 2007, High-frequency time-series of the dynamic sedimentation processes on the western shelf of the Mississippi River Delta: Continental Shelf Research, v. 27, p. 1600–1615.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r w:rsidRPr="008B088A">
        <w:rPr>
          <w:rFonts w:cstheme="minorHAnsi"/>
          <w:color w:val="000000" w:themeColor="text1"/>
          <w:sz w:val="24"/>
          <w:szCs w:val="24"/>
        </w:rPr>
        <w:t>Corbett, D.R., McKee, B., and Allison, M. 2006, Nature of decadal-scale sediment accumulation on the western shelf of the Mississippi River delta: Continental Shelf Research, v. 26, p. 2125–2140</w:t>
      </w:r>
      <w:r w:rsidR="0012604F">
        <w:rPr>
          <w:rFonts w:cstheme="minorHAnsi"/>
          <w:color w:val="000000" w:themeColor="text1"/>
          <w:sz w:val="24"/>
          <w:szCs w:val="24"/>
        </w:rPr>
        <w:t>.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Dail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>, M.B., Corbett, D.R., and Walsh, J.P. 2007, Assessing the importance of tropical cyclones on continental margin sedimentation in the Mississippi delta region: Continental Shelf Research, v. 27, p. 1857–1874</w:t>
      </w:r>
      <w:r w:rsidR="0012604F">
        <w:rPr>
          <w:rFonts w:cstheme="minorHAnsi"/>
          <w:color w:val="000000" w:themeColor="text1"/>
          <w:sz w:val="24"/>
          <w:szCs w:val="24"/>
        </w:rPr>
        <w:t>.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DeLaune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 xml:space="preserve">, R.D. 1988, Processes of Formation and Degradation of </w:t>
      </w:r>
      <w:proofErr w:type="gramStart"/>
      <w:r w:rsidRPr="008B088A">
        <w:rPr>
          <w:rFonts w:cstheme="minorHAnsi"/>
          <w:color w:val="000000" w:themeColor="text1"/>
          <w:sz w:val="24"/>
          <w:szCs w:val="24"/>
        </w:rPr>
        <w:t>Marshes  along</w:t>
      </w:r>
      <w:proofErr w:type="gramEnd"/>
      <w:r w:rsidRPr="008B088A">
        <w:rPr>
          <w:rFonts w:cstheme="minorHAnsi"/>
          <w:color w:val="000000" w:themeColor="text1"/>
          <w:sz w:val="24"/>
          <w:szCs w:val="24"/>
        </w:rPr>
        <w:t xml:space="preserve">  the Louisiana Gulf Coast: Doctoral thesis, Wageningen University, The Netherlands, 171 p</w:t>
      </w:r>
      <w:r w:rsidR="0012604F">
        <w:rPr>
          <w:rFonts w:cstheme="minorHAnsi"/>
          <w:color w:val="000000" w:themeColor="text1"/>
          <w:sz w:val="24"/>
          <w:szCs w:val="24"/>
        </w:rPr>
        <w:t>p</w:t>
      </w:r>
      <w:r w:rsidRPr="008B088A">
        <w:rPr>
          <w:rFonts w:cstheme="minorHAnsi"/>
          <w:color w:val="000000" w:themeColor="text1"/>
          <w:sz w:val="24"/>
          <w:szCs w:val="24"/>
        </w:rPr>
        <w:t>.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DeLaune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>, R.D., Smith, C.J., Patrick Jr, W.H., and Roberts, H.H. 1987, Rejuvenated Marsh and Bay-bottom Accretion on the Rapidly Subsiding Coastal Plain of U.S. Gulf Coast: a Second-order Effect of the Emerging Atchafalaya Delta: Estuarine, Coastal and Shelf Science, v. 25, p. 381-389.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lastRenderedPageBreak/>
        <w:t>Draut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 xml:space="preserve">, A.E.,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Kineke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>, G.C., Velasco, D.W., Allison, M.A., and Prime, R.J. 2005, Influence of the Atchafalaya River on recent evolution of the chenier-plain inner continental shelf, northern Gulf of Mexico: Continental Shelf Research, v. 25(1), p. 91-112.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r w:rsidRPr="008B088A">
        <w:rPr>
          <w:rFonts w:cstheme="minorHAnsi"/>
          <w:color w:val="000000" w:themeColor="text1"/>
          <w:sz w:val="24"/>
          <w:szCs w:val="24"/>
        </w:rPr>
        <w:t xml:space="preserve">Dufrene, T.A. 2005, Geological Variability and Holocene Sedimentary Record on the Northern Gulf of Mexico Inner to Mid-Continental Shelf: Master of Science Thesis, Department of Oceanography and Coastal Sciences, Louisiana State University and Agricultural and Mechanical College, </w:t>
      </w:r>
      <w:r w:rsidR="0012604F">
        <w:rPr>
          <w:rFonts w:cstheme="minorHAnsi"/>
          <w:color w:val="000000" w:themeColor="text1"/>
          <w:sz w:val="24"/>
          <w:szCs w:val="24"/>
        </w:rPr>
        <w:t xml:space="preserve">Louisiana, USA, </w:t>
      </w:r>
      <w:r w:rsidRPr="008B088A">
        <w:rPr>
          <w:rFonts w:cstheme="minorHAnsi"/>
          <w:color w:val="000000" w:themeColor="text1"/>
          <w:sz w:val="24"/>
          <w:szCs w:val="24"/>
        </w:rPr>
        <w:t>100 pp.</w:t>
      </w:r>
    </w:p>
    <w:p w:rsidR="00927215" w:rsidRPr="008B088A" w:rsidRDefault="00927215" w:rsidP="00927215">
      <w:pPr>
        <w:spacing w:after="0" w:line="480" w:lineRule="auto"/>
        <w:ind w:left="440" w:right="417" w:hanging="440"/>
        <w:rPr>
          <w:rFonts w:eastAsia="Times New Roman" w:cstheme="minorHAnsi"/>
          <w:color w:val="000000" w:themeColor="text1"/>
          <w:sz w:val="24"/>
          <w:szCs w:val="24"/>
        </w:rPr>
      </w:pPr>
      <w:r w:rsidRPr="008B088A">
        <w:rPr>
          <w:rFonts w:eastAsia="Times New Roman" w:cstheme="minorHAnsi"/>
          <w:color w:val="000000" w:themeColor="text1"/>
          <w:sz w:val="24"/>
          <w:szCs w:val="24"/>
        </w:rPr>
        <w:t xml:space="preserve">Eadie, B.J., McKee, B.A., </w:t>
      </w:r>
      <w:proofErr w:type="spellStart"/>
      <w:r w:rsidRPr="008B088A">
        <w:rPr>
          <w:rFonts w:eastAsia="Times New Roman" w:cstheme="minorHAnsi"/>
          <w:color w:val="000000" w:themeColor="text1"/>
          <w:sz w:val="24"/>
          <w:szCs w:val="24"/>
        </w:rPr>
        <w:t>Lansgin</w:t>
      </w:r>
      <w:proofErr w:type="spellEnd"/>
      <w:r w:rsidRPr="008B088A">
        <w:rPr>
          <w:rFonts w:eastAsia="Times New Roman" w:cstheme="minorHAnsi"/>
          <w:color w:val="000000" w:themeColor="text1"/>
          <w:sz w:val="24"/>
          <w:szCs w:val="24"/>
        </w:rPr>
        <w:t xml:space="preserve">, M.B., Metz, S., and </w:t>
      </w:r>
      <w:proofErr w:type="spellStart"/>
      <w:r w:rsidRPr="008B088A">
        <w:rPr>
          <w:rFonts w:eastAsia="Times New Roman" w:cstheme="minorHAnsi"/>
          <w:color w:val="000000" w:themeColor="text1"/>
          <w:sz w:val="24"/>
          <w:szCs w:val="24"/>
        </w:rPr>
        <w:t>Trefry</w:t>
      </w:r>
      <w:proofErr w:type="spellEnd"/>
      <w:r w:rsidRPr="008B088A">
        <w:rPr>
          <w:rFonts w:eastAsia="Times New Roman" w:cstheme="minorHAnsi"/>
          <w:color w:val="000000" w:themeColor="text1"/>
          <w:sz w:val="24"/>
          <w:szCs w:val="24"/>
        </w:rPr>
        <w:t>, J.H. 1994, Records of Nutrie</w:t>
      </w:r>
      <w:r w:rsidRPr="008B088A">
        <w:rPr>
          <w:rFonts w:eastAsia="Times New Roman" w:cstheme="minorHAnsi"/>
          <w:color w:val="000000" w:themeColor="text1"/>
          <w:spacing w:val="-1"/>
          <w:sz w:val="24"/>
          <w:szCs w:val="24"/>
        </w:rPr>
        <w:t>n</w:t>
      </w:r>
      <w:r w:rsidRPr="008B088A">
        <w:rPr>
          <w:rFonts w:eastAsia="Times New Roman" w:cstheme="minorHAnsi"/>
          <w:color w:val="000000" w:themeColor="text1"/>
          <w:spacing w:val="1"/>
          <w:sz w:val="24"/>
          <w:szCs w:val="24"/>
        </w:rPr>
        <w:t>t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>-E</w:t>
      </w:r>
      <w:r w:rsidRPr="008B088A">
        <w:rPr>
          <w:rFonts w:eastAsia="Times New Roman" w:cstheme="minorHAnsi"/>
          <w:color w:val="000000" w:themeColor="text1"/>
          <w:spacing w:val="-1"/>
          <w:sz w:val="24"/>
          <w:szCs w:val="24"/>
        </w:rPr>
        <w:t>n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 xml:space="preserve">hanced Coastal Ocean </w:t>
      </w:r>
      <w:r w:rsidRPr="008B088A">
        <w:rPr>
          <w:rFonts w:eastAsia="Times New Roman" w:cstheme="minorHAnsi"/>
          <w:color w:val="000000" w:themeColor="text1"/>
          <w:spacing w:val="-1"/>
          <w:sz w:val="24"/>
          <w:szCs w:val="24"/>
        </w:rPr>
        <w:t>Pr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>oducti</w:t>
      </w:r>
      <w:r w:rsidRPr="008B088A">
        <w:rPr>
          <w:rFonts w:eastAsia="Times New Roman" w:cstheme="minorHAnsi"/>
          <w:color w:val="000000" w:themeColor="text1"/>
          <w:spacing w:val="-1"/>
          <w:sz w:val="24"/>
          <w:szCs w:val="24"/>
        </w:rPr>
        <w:t>v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>ity in</w:t>
      </w:r>
      <w:r w:rsidRPr="008B088A">
        <w:rPr>
          <w:rFonts w:eastAsia="Times New Roman" w:cstheme="minorHAnsi"/>
          <w:color w:val="000000" w:themeColor="text1"/>
          <w:spacing w:val="-1"/>
          <w:sz w:val="24"/>
          <w:szCs w:val="24"/>
        </w:rPr>
        <w:t xml:space="preserve"> 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>Sedi</w:t>
      </w:r>
      <w:r w:rsidRPr="008B088A">
        <w:rPr>
          <w:rFonts w:eastAsia="Times New Roman" w:cstheme="minorHAnsi"/>
          <w:color w:val="000000" w:themeColor="text1"/>
          <w:spacing w:val="-2"/>
          <w:sz w:val="24"/>
          <w:szCs w:val="24"/>
        </w:rPr>
        <w:t>m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>ents from</w:t>
      </w:r>
      <w:r w:rsidRPr="008B088A">
        <w:rPr>
          <w:rFonts w:eastAsia="Times New Roman" w:cstheme="minorHAnsi"/>
          <w:color w:val="000000" w:themeColor="text1"/>
          <w:spacing w:val="-2"/>
          <w:sz w:val="24"/>
          <w:szCs w:val="24"/>
        </w:rPr>
        <w:t xml:space="preserve"> 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>the Louisia</w:t>
      </w:r>
      <w:r w:rsidRPr="008B088A">
        <w:rPr>
          <w:rFonts w:eastAsia="Times New Roman" w:cstheme="minorHAnsi"/>
          <w:color w:val="000000" w:themeColor="text1"/>
          <w:spacing w:val="-1"/>
          <w:sz w:val="24"/>
          <w:szCs w:val="24"/>
        </w:rPr>
        <w:t>n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>a Continent</w:t>
      </w:r>
      <w:r w:rsidRPr="008B088A">
        <w:rPr>
          <w:rFonts w:eastAsia="Times New Roman" w:cstheme="minorHAnsi"/>
          <w:color w:val="000000" w:themeColor="text1"/>
          <w:spacing w:val="-1"/>
          <w:sz w:val="24"/>
          <w:szCs w:val="24"/>
        </w:rPr>
        <w:t>a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>l</w:t>
      </w:r>
      <w:r w:rsidRPr="008B088A">
        <w:rPr>
          <w:rFonts w:eastAsia="Times New Roman" w:cstheme="minorHAnsi"/>
          <w:color w:val="000000" w:themeColor="text1"/>
          <w:spacing w:val="-1"/>
          <w:sz w:val="24"/>
          <w:szCs w:val="24"/>
        </w:rPr>
        <w:t xml:space="preserve"> 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>Shel</w:t>
      </w:r>
      <w:r w:rsidRPr="008B088A">
        <w:rPr>
          <w:rFonts w:eastAsia="Times New Roman" w:cstheme="minorHAnsi"/>
          <w:color w:val="000000" w:themeColor="text1"/>
          <w:spacing w:val="-1"/>
          <w:sz w:val="24"/>
          <w:szCs w:val="24"/>
        </w:rPr>
        <w:t>f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>:</w:t>
      </w:r>
      <w:r w:rsidRPr="008B088A">
        <w:rPr>
          <w:rFonts w:eastAsia="Times New Roman" w:cstheme="minorHAnsi"/>
          <w:color w:val="000000" w:themeColor="text1"/>
          <w:spacing w:val="-1"/>
          <w:sz w:val="24"/>
          <w:szCs w:val="24"/>
        </w:rPr>
        <w:t xml:space="preserve"> 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 xml:space="preserve">Estuaries, </w:t>
      </w:r>
      <w:r w:rsidRPr="008B088A">
        <w:rPr>
          <w:rFonts w:cstheme="minorHAnsi"/>
          <w:color w:val="000000" w:themeColor="text1"/>
          <w:sz w:val="24"/>
          <w:szCs w:val="24"/>
        </w:rPr>
        <w:t xml:space="preserve">v. 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 xml:space="preserve">17, </w:t>
      </w:r>
      <w:r w:rsidRPr="008B088A">
        <w:rPr>
          <w:rFonts w:cstheme="minorHAnsi"/>
          <w:color w:val="000000" w:themeColor="text1"/>
          <w:sz w:val="24"/>
          <w:szCs w:val="24"/>
        </w:rPr>
        <w:t xml:space="preserve">p. 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>754-765.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r w:rsidRPr="008B088A">
        <w:rPr>
          <w:rFonts w:cstheme="minorHAnsi"/>
          <w:color w:val="000000" w:themeColor="text1"/>
          <w:sz w:val="24"/>
          <w:szCs w:val="24"/>
        </w:rPr>
        <w:t xml:space="preserve">Edrington, C.H. 2013, Depositional History of the Trinity-Tiger Shoals Region: A Transgressed Delta Complex of the Middle Holocene Mississippi Delta: Louisiana State University and Agricultural and Mechanical College, </w:t>
      </w:r>
      <w:r w:rsidR="0012604F">
        <w:rPr>
          <w:rFonts w:cstheme="minorHAnsi"/>
          <w:color w:val="000000" w:themeColor="text1"/>
          <w:sz w:val="24"/>
          <w:szCs w:val="24"/>
        </w:rPr>
        <w:t xml:space="preserve">Louisiana, USA, </w:t>
      </w:r>
      <w:r w:rsidRPr="008B088A">
        <w:rPr>
          <w:rFonts w:cstheme="minorHAnsi"/>
          <w:color w:val="000000" w:themeColor="text1"/>
          <w:sz w:val="24"/>
          <w:szCs w:val="24"/>
        </w:rPr>
        <w:t xml:space="preserve">Ph.D. Thesis, 886 pp. 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Eipert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 xml:space="preserve">, A.A. 2007, Sand and mud deposited by Hurricane Katrina on Deer Island, Biloxi Bay: Thesis M.S. in Geological Sciences, Department of Earth and Space Sciences, University of Washington, </w:t>
      </w:r>
      <w:r w:rsidR="0012604F">
        <w:rPr>
          <w:rFonts w:cstheme="minorHAnsi"/>
          <w:color w:val="000000" w:themeColor="text1"/>
          <w:sz w:val="24"/>
          <w:szCs w:val="24"/>
        </w:rPr>
        <w:t xml:space="preserve">Washington, USA, </w:t>
      </w:r>
      <w:r w:rsidRPr="008B088A">
        <w:rPr>
          <w:rFonts w:cstheme="minorHAnsi"/>
          <w:color w:val="000000" w:themeColor="text1"/>
          <w:sz w:val="24"/>
          <w:szCs w:val="24"/>
        </w:rPr>
        <w:t>17 p.</w:t>
      </w:r>
    </w:p>
    <w:p w:rsidR="00927215" w:rsidRPr="008B088A" w:rsidRDefault="00927215" w:rsidP="00927215">
      <w:pPr>
        <w:spacing w:after="0" w:line="480" w:lineRule="auto"/>
        <w:ind w:left="440" w:right="273" w:hanging="450"/>
        <w:rPr>
          <w:rFonts w:eastAsia="Times New Roman" w:cstheme="minorHAnsi"/>
          <w:color w:val="000000" w:themeColor="text1"/>
          <w:sz w:val="24"/>
          <w:szCs w:val="24"/>
        </w:rPr>
      </w:pPr>
      <w:r w:rsidRPr="008B088A">
        <w:rPr>
          <w:rFonts w:eastAsia="Times New Roman" w:cstheme="minorHAnsi"/>
          <w:color w:val="000000" w:themeColor="text1"/>
          <w:sz w:val="24"/>
          <w:szCs w:val="24"/>
        </w:rPr>
        <w:t xml:space="preserve">Gordon, E.S., and </w:t>
      </w:r>
      <w:proofErr w:type="spellStart"/>
      <w:r w:rsidRPr="008B088A">
        <w:rPr>
          <w:rFonts w:eastAsia="Times New Roman" w:cstheme="minorHAnsi"/>
          <w:color w:val="000000" w:themeColor="text1"/>
          <w:sz w:val="24"/>
          <w:szCs w:val="24"/>
        </w:rPr>
        <w:t>Goñi</w:t>
      </w:r>
      <w:proofErr w:type="spellEnd"/>
      <w:r w:rsidRPr="008B088A">
        <w:rPr>
          <w:rFonts w:eastAsia="Times New Roman" w:cstheme="minorHAnsi"/>
          <w:color w:val="000000" w:themeColor="text1"/>
          <w:sz w:val="24"/>
          <w:szCs w:val="24"/>
        </w:rPr>
        <w:t>, M.A. 2003, Sources and distribution of</w:t>
      </w:r>
      <w:r w:rsidRPr="008B088A">
        <w:rPr>
          <w:rFonts w:eastAsia="Times New Roman" w:cstheme="minorHAnsi"/>
          <w:color w:val="000000" w:themeColor="text1"/>
          <w:spacing w:val="-1"/>
          <w:sz w:val="24"/>
          <w:szCs w:val="24"/>
        </w:rPr>
        <w:t xml:space="preserve"> 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 xml:space="preserve">terrigenous organic </w:t>
      </w:r>
      <w:r w:rsidRPr="008B088A">
        <w:rPr>
          <w:rFonts w:eastAsia="Times New Roman" w:cstheme="minorHAnsi"/>
          <w:color w:val="000000" w:themeColor="text1"/>
          <w:spacing w:val="-2"/>
          <w:sz w:val="24"/>
          <w:szCs w:val="24"/>
        </w:rPr>
        <w:t>m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>atter deli</w:t>
      </w:r>
      <w:r w:rsidRPr="008B088A">
        <w:rPr>
          <w:rFonts w:eastAsia="Times New Roman" w:cstheme="minorHAnsi"/>
          <w:color w:val="000000" w:themeColor="text1"/>
          <w:spacing w:val="-1"/>
          <w:sz w:val="24"/>
          <w:szCs w:val="24"/>
        </w:rPr>
        <w:t>v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>ered by t</w:t>
      </w:r>
      <w:r w:rsidRPr="008B088A">
        <w:rPr>
          <w:rFonts w:eastAsia="Times New Roman" w:cstheme="minorHAnsi"/>
          <w:color w:val="000000" w:themeColor="text1"/>
          <w:spacing w:val="-1"/>
          <w:sz w:val="24"/>
          <w:szCs w:val="24"/>
        </w:rPr>
        <w:t>h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>e Atchafalaya River to</w:t>
      </w:r>
      <w:r w:rsidRPr="008B088A">
        <w:rPr>
          <w:rFonts w:eastAsia="Times New Roman" w:cstheme="minorHAnsi"/>
          <w:color w:val="000000" w:themeColor="text1"/>
          <w:spacing w:val="-1"/>
          <w:sz w:val="24"/>
          <w:szCs w:val="24"/>
        </w:rPr>
        <w:t xml:space="preserve"> 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>sedi</w:t>
      </w:r>
      <w:r w:rsidRPr="008B088A">
        <w:rPr>
          <w:rFonts w:eastAsia="Times New Roman" w:cstheme="minorHAnsi"/>
          <w:color w:val="000000" w:themeColor="text1"/>
          <w:spacing w:val="-2"/>
          <w:sz w:val="24"/>
          <w:szCs w:val="24"/>
        </w:rPr>
        <w:t>m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 xml:space="preserve">ents in the northern Gulf of Mexico: </w:t>
      </w:r>
      <w:proofErr w:type="spellStart"/>
      <w:r w:rsidRPr="008B088A">
        <w:rPr>
          <w:rFonts w:eastAsia="Times New Roman" w:cstheme="minorHAnsi"/>
          <w:color w:val="000000" w:themeColor="text1"/>
          <w:sz w:val="24"/>
          <w:szCs w:val="24"/>
        </w:rPr>
        <w:t>Geochimica</w:t>
      </w:r>
      <w:proofErr w:type="spellEnd"/>
      <w:r w:rsidRPr="008B088A">
        <w:rPr>
          <w:rFonts w:eastAsia="Times New Roman" w:cstheme="minorHAnsi"/>
          <w:color w:val="000000" w:themeColor="text1"/>
          <w:sz w:val="24"/>
          <w:szCs w:val="24"/>
        </w:rPr>
        <w:t xml:space="preserve"> et </w:t>
      </w:r>
      <w:proofErr w:type="spellStart"/>
      <w:r w:rsidRPr="008B088A">
        <w:rPr>
          <w:rFonts w:eastAsia="Times New Roman" w:cstheme="minorHAnsi"/>
          <w:color w:val="000000" w:themeColor="text1"/>
          <w:sz w:val="24"/>
          <w:szCs w:val="24"/>
        </w:rPr>
        <w:t>Cosmochimica</w:t>
      </w:r>
      <w:proofErr w:type="spellEnd"/>
      <w:r w:rsidRPr="008B088A">
        <w:rPr>
          <w:rFonts w:eastAsia="Times New Roman" w:cstheme="minorHAnsi"/>
          <w:color w:val="000000" w:themeColor="text1"/>
          <w:sz w:val="24"/>
          <w:szCs w:val="24"/>
        </w:rPr>
        <w:t xml:space="preserve"> Acta, </w:t>
      </w:r>
      <w:r w:rsidRPr="008B088A">
        <w:rPr>
          <w:rFonts w:cstheme="minorHAnsi"/>
          <w:color w:val="000000" w:themeColor="text1"/>
          <w:sz w:val="24"/>
          <w:szCs w:val="24"/>
        </w:rPr>
        <w:t xml:space="preserve">v. 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 xml:space="preserve">67, </w:t>
      </w:r>
      <w:r w:rsidRPr="008B088A">
        <w:rPr>
          <w:rFonts w:cstheme="minorHAnsi"/>
          <w:color w:val="000000" w:themeColor="text1"/>
          <w:sz w:val="24"/>
          <w:szCs w:val="24"/>
        </w:rPr>
        <w:t xml:space="preserve">p. 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>2359-2375.</w:t>
      </w:r>
    </w:p>
    <w:p w:rsidR="00927215" w:rsidRPr="008B088A" w:rsidRDefault="00927215" w:rsidP="00927215">
      <w:pPr>
        <w:spacing w:after="0" w:line="480" w:lineRule="auto"/>
        <w:ind w:left="440" w:right="407" w:hanging="450"/>
        <w:rPr>
          <w:rFonts w:eastAsia="Times New Roman" w:cstheme="minorHAnsi"/>
          <w:color w:val="000000" w:themeColor="text1"/>
          <w:sz w:val="24"/>
          <w:szCs w:val="24"/>
        </w:rPr>
      </w:pPr>
      <w:r w:rsidRPr="008B088A">
        <w:rPr>
          <w:rFonts w:eastAsia="Times New Roman" w:cstheme="minorHAnsi"/>
          <w:color w:val="000000" w:themeColor="text1"/>
          <w:sz w:val="24"/>
          <w:szCs w:val="24"/>
        </w:rPr>
        <w:t xml:space="preserve">Gordon, E.S., and </w:t>
      </w:r>
      <w:proofErr w:type="spellStart"/>
      <w:r w:rsidRPr="008B088A">
        <w:rPr>
          <w:rFonts w:eastAsia="Times New Roman" w:cstheme="minorHAnsi"/>
          <w:color w:val="000000" w:themeColor="text1"/>
          <w:sz w:val="24"/>
          <w:szCs w:val="24"/>
        </w:rPr>
        <w:t>Goñi</w:t>
      </w:r>
      <w:proofErr w:type="spellEnd"/>
      <w:r w:rsidRPr="008B088A">
        <w:rPr>
          <w:rFonts w:eastAsia="Times New Roman" w:cstheme="minorHAnsi"/>
          <w:color w:val="000000" w:themeColor="text1"/>
          <w:sz w:val="24"/>
          <w:szCs w:val="24"/>
        </w:rPr>
        <w:t>, M.A. 2004, Controls on the distribution and accu</w:t>
      </w:r>
      <w:r w:rsidRPr="008B088A">
        <w:rPr>
          <w:rFonts w:eastAsia="Times New Roman" w:cstheme="minorHAnsi"/>
          <w:color w:val="000000" w:themeColor="text1"/>
          <w:spacing w:val="-2"/>
          <w:sz w:val="24"/>
          <w:szCs w:val="24"/>
        </w:rPr>
        <w:t>m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 xml:space="preserve">ulation of terrigenous organic </w:t>
      </w:r>
      <w:r w:rsidRPr="008B088A">
        <w:rPr>
          <w:rFonts w:eastAsia="Times New Roman" w:cstheme="minorHAnsi"/>
          <w:color w:val="000000" w:themeColor="text1"/>
          <w:spacing w:val="-2"/>
          <w:sz w:val="24"/>
          <w:szCs w:val="24"/>
        </w:rPr>
        <w:t>m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>atter in sedi</w:t>
      </w:r>
      <w:r w:rsidRPr="008B088A">
        <w:rPr>
          <w:rFonts w:eastAsia="Times New Roman" w:cstheme="minorHAnsi"/>
          <w:color w:val="000000" w:themeColor="text1"/>
          <w:spacing w:val="-2"/>
          <w:sz w:val="24"/>
          <w:szCs w:val="24"/>
        </w:rPr>
        <w:t>m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>ents from</w:t>
      </w:r>
      <w:r w:rsidRPr="008B088A">
        <w:rPr>
          <w:rFonts w:eastAsia="Times New Roman" w:cstheme="minorHAnsi"/>
          <w:color w:val="000000" w:themeColor="text1"/>
          <w:spacing w:val="-2"/>
          <w:sz w:val="24"/>
          <w:szCs w:val="24"/>
        </w:rPr>
        <w:t xml:space="preserve"> 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 xml:space="preserve">the Mississippi and Atchafalaya river </w:t>
      </w:r>
      <w:r w:rsidRPr="008B088A">
        <w:rPr>
          <w:rFonts w:eastAsia="Times New Roman" w:cstheme="minorHAnsi"/>
          <w:color w:val="000000" w:themeColor="text1"/>
          <w:spacing w:val="-2"/>
          <w:sz w:val="24"/>
          <w:szCs w:val="24"/>
        </w:rPr>
        <w:t>m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 xml:space="preserve">argin: Marine Chemistry, </w:t>
      </w:r>
      <w:r w:rsidRPr="008B088A">
        <w:rPr>
          <w:rFonts w:cstheme="minorHAnsi"/>
          <w:color w:val="000000" w:themeColor="text1"/>
          <w:sz w:val="24"/>
          <w:szCs w:val="24"/>
        </w:rPr>
        <w:t xml:space="preserve">v. 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 xml:space="preserve">92, </w:t>
      </w:r>
      <w:r w:rsidRPr="008B088A">
        <w:rPr>
          <w:rFonts w:cstheme="minorHAnsi"/>
          <w:color w:val="000000" w:themeColor="text1"/>
          <w:sz w:val="24"/>
          <w:szCs w:val="24"/>
        </w:rPr>
        <w:t xml:space="preserve">p. 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>331-352.</w:t>
      </w:r>
    </w:p>
    <w:p w:rsidR="00927215" w:rsidRPr="008B088A" w:rsidRDefault="00927215" w:rsidP="00927215">
      <w:pPr>
        <w:spacing w:after="0" w:line="480" w:lineRule="auto"/>
        <w:ind w:left="440" w:right="435" w:hanging="450"/>
        <w:rPr>
          <w:rFonts w:eastAsia="Times New Roman" w:cstheme="minorHAnsi"/>
          <w:color w:val="000000" w:themeColor="text1"/>
          <w:sz w:val="24"/>
          <w:szCs w:val="24"/>
        </w:rPr>
      </w:pPr>
      <w:r w:rsidRPr="008B088A">
        <w:rPr>
          <w:rFonts w:eastAsia="Times New Roman" w:cstheme="minorHAnsi"/>
          <w:color w:val="000000" w:themeColor="text1"/>
          <w:sz w:val="24"/>
          <w:szCs w:val="24"/>
        </w:rPr>
        <w:lastRenderedPageBreak/>
        <w:t xml:space="preserve">Gordon, E.S., </w:t>
      </w:r>
      <w:proofErr w:type="spellStart"/>
      <w:r w:rsidRPr="008B088A">
        <w:rPr>
          <w:rFonts w:eastAsia="Times New Roman" w:cstheme="minorHAnsi"/>
          <w:color w:val="000000" w:themeColor="text1"/>
          <w:sz w:val="24"/>
          <w:szCs w:val="24"/>
        </w:rPr>
        <w:t>Goñi</w:t>
      </w:r>
      <w:proofErr w:type="spellEnd"/>
      <w:r w:rsidRPr="008B088A">
        <w:rPr>
          <w:rFonts w:eastAsia="Times New Roman" w:cstheme="minorHAnsi"/>
          <w:color w:val="000000" w:themeColor="text1"/>
          <w:sz w:val="24"/>
          <w:szCs w:val="24"/>
        </w:rPr>
        <w:t xml:space="preserve">, M.A., Roberts, Q.N., </w:t>
      </w:r>
      <w:proofErr w:type="spellStart"/>
      <w:r w:rsidRPr="008B088A">
        <w:rPr>
          <w:rFonts w:eastAsia="Times New Roman" w:cstheme="minorHAnsi"/>
          <w:color w:val="000000" w:themeColor="text1"/>
          <w:sz w:val="24"/>
          <w:szCs w:val="24"/>
        </w:rPr>
        <w:t>Kineke</w:t>
      </w:r>
      <w:proofErr w:type="spellEnd"/>
      <w:r w:rsidRPr="008B088A">
        <w:rPr>
          <w:rFonts w:eastAsia="Times New Roman" w:cstheme="minorHAnsi"/>
          <w:color w:val="000000" w:themeColor="text1"/>
          <w:sz w:val="24"/>
          <w:szCs w:val="24"/>
        </w:rPr>
        <w:t xml:space="preserve">, G.C., and Allison, M.A. 2001, Organic </w:t>
      </w:r>
      <w:r w:rsidRPr="008B088A">
        <w:rPr>
          <w:rFonts w:eastAsia="Times New Roman" w:cstheme="minorHAnsi"/>
          <w:color w:val="000000" w:themeColor="text1"/>
          <w:spacing w:val="-2"/>
          <w:sz w:val="24"/>
          <w:szCs w:val="24"/>
        </w:rPr>
        <w:t>m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 xml:space="preserve">atter </w:t>
      </w:r>
      <w:r w:rsidRPr="008B088A">
        <w:rPr>
          <w:rFonts w:eastAsia="Times New Roman" w:cstheme="minorHAnsi"/>
          <w:color w:val="000000" w:themeColor="text1"/>
          <w:spacing w:val="-1"/>
          <w:sz w:val="24"/>
          <w:szCs w:val="24"/>
        </w:rPr>
        <w:t>d</w:t>
      </w:r>
      <w:r w:rsidRPr="008B088A">
        <w:rPr>
          <w:rFonts w:eastAsia="Times New Roman" w:cstheme="minorHAnsi"/>
          <w:color w:val="000000" w:themeColor="text1"/>
          <w:spacing w:val="1"/>
          <w:sz w:val="24"/>
          <w:szCs w:val="24"/>
        </w:rPr>
        <w:t>i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>stribution and acc</w:t>
      </w:r>
      <w:r w:rsidRPr="008B088A">
        <w:rPr>
          <w:rFonts w:eastAsia="Times New Roman" w:cstheme="minorHAnsi"/>
          <w:color w:val="000000" w:themeColor="text1"/>
          <w:spacing w:val="-1"/>
          <w:sz w:val="24"/>
          <w:szCs w:val="24"/>
        </w:rPr>
        <w:t>u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>mulation on</w:t>
      </w:r>
      <w:r w:rsidRPr="008B088A">
        <w:rPr>
          <w:rFonts w:eastAsia="Times New Roman" w:cstheme="minorHAnsi"/>
          <w:color w:val="000000" w:themeColor="text1"/>
          <w:spacing w:val="-2"/>
          <w:sz w:val="24"/>
          <w:szCs w:val="24"/>
        </w:rPr>
        <w:t xml:space="preserve"> 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>the inner L</w:t>
      </w:r>
      <w:r w:rsidRPr="008B088A">
        <w:rPr>
          <w:rFonts w:eastAsia="Times New Roman" w:cstheme="minorHAnsi"/>
          <w:color w:val="000000" w:themeColor="text1"/>
          <w:spacing w:val="-1"/>
          <w:sz w:val="24"/>
          <w:szCs w:val="24"/>
        </w:rPr>
        <w:t>o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>uisia</w:t>
      </w:r>
      <w:r w:rsidRPr="008B088A">
        <w:rPr>
          <w:rFonts w:eastAsia="Times New Roman" w:cstheme="minorHAnsi"/>
          <w:color w:val="000000" w:themeColor="text1"/>
          <w:spacing w:val="-1"/>
          <w:sz w:val="24"/>
          <w:szCs w:val="24"/>
        </w:rPr>
        <w:t>n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>a shelf</w:t>
      </w:r>
      <w:r w:rsidRPr="008B088A">
        <w:rPr>
          <w:rFonts w:eastAsia="Times New Roman" w:cstheme="minorHAnsi"/>
          <w:color w:val="000000" w:themeColor="text1"/>
          <w:spacing w:val="-2"/>
          <w:sz w:val="24"/>
          <w:szCs w:val="24"/>
        </w:rPr>
        <w:t xml:space="preserve"> 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>west of the Atchafalaya river to se</w:t>
      </w:r>
      <w:r w:rsidRPr="008B088A">
        <w:rPr>
          <w:rFonts w:eastAsia="Times New Roman" w:cstheme="minorHAnsi"/>
          <w:color w:val="000000" w:themeColor="text1"/>
          <w:spacing w:val="-1"/>
          <w:sz w:val="24"/>
          <w:szCs w:val="24"/>
        </w:rPr>
        <w:t>di</w:t>
      </w:r>
      <w:r w:rsidRPr="008B088A">
        <w:rPr>
          <w:rFonts w:eastAsia="Times New Roman" w:cstheme="minorHAnsi"/>
          <w:color w:val="000000" w:themeColor="text1"/>
          <w:spacing w:val="-2"/>
          <w:sz w:val="24"/>
          <w:szCs w:val="24"/>
        </w:rPr>
        <w:t>m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>ents</w:t>
      </w:r>
      <w:r w:rsidRPr="008B088A">
        <w:rPr>
          <w:rFonts w:eastAsia="Times New Roman" w:cstheme="minorHAnsi"/>
          <w:color w:val="000000" w:themeColor="text1"/>
          <w:spacing w:val="-1"/>
          <w:sz w:val="24"/>
          <w:szCs w:val="24"/>
        </w:rPr>
        <w:t xml:space="preserve"> 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 xml:space="preserve">in the northern gulf of Mexico: Continental Shelf Research, </w:t>
      </w:r>
      <w:r w:rsidRPr="008B088A">
        <w:rPr>
          <w:rFonts w:cstheme="minorHAnsi"/>
          <w:color w:val="000000" w:themeColor="text1"/>
          <w:sz w:val="24"/>
          <w:szCs w:val="24"/>
        </w:rPr>
        <w:t xml:space="preserve">v. 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 xml:space="preserve">21, </w:t>
      </w:r>
      <w:r w:rsidRPr="008B088A">
        <w:rPr>
          <w:rFonts w:cstheme="minorHAnsi"/>
          <w:color w:val="000000" w:themeColor="text1"/>
          <w:sz w:val="24"/>
          <w:szCs w:val="24"/>
        </w:rPr>
        <w:t xml:space="preserve">p. </w:t>
      </w:r>
      <w:r w:rsidRPr="008B088A">
        <w:rPr>
          <w:rFonts w:eastAsia="Times New Roman" w:cstheme="minorHAnsi"/>
          <w:color w:val="000000" w:themeColor="text1"/>
          <w:sz w:val="24"/>
          <w:szCs w:val="24"/>
        </w:rPr>
        <w:t>1691-1721.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r w:rsidRPr="008B088A">
        <w:rPr>
          <w:rFonts w:cstheme="minorHAnsi"/>
          <w:color w:val="000000" w:themeColor="text1"/>
          <w:sz w:val="24"/>
          <w:szCs w:val="24"/>
        </w:rPr>
        <w:t xml:space="preserve">Hackworth, M.S. 2005, Carbonate Records of Submarine Hydrocarbon Venting: Northern Gulf of Mexico: Ph. D. Dissertation, Graduate Faculty of the Louisiana State University and Agricultural and Mechanical College, </w:t>
      </w:r>
      <w:r w:rsidR="0012604F">
        <w:rPr>
          <w:rFonts w:cstheme="minorHAnsi"/>
          <w:color w:val="000000" w:themeColor="text1"/>
          <w:sz w:val="24"/>
          <w:szCs w:val="24"/>
        </w:rPr>
        <w:t xml:space="preserve">Louisiana, USA, </w:t>
      </w:r>
      <w:r w:rsidRPr="008B088A">
        <w:rPr>
          <w:rFonts w:cstheme="minorHAnsi"/>
          <w:color w:val="000000" w:themeColor="text1"/>
          <w:sz w:val="24"/>
          <w:szCs w:val="24"/>
        </w:rPr>
        <w:t>May 2005, 315 pp.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r w:rsidRPr="008B088A">
        <w:rPr>
          <w:rFonts w:cstheme="minorHAnsi"/>
          <w:color w:val="000000" w:themeColor="text1"/>
          <w:sz w:val="24"/>
          <w:szCs w:val="24"/>
        </w:rPr>
        <w:t xml:space="preserve">Ingram, W.C. 2013, Late Quaternary Depositional History, Sedimentary Geochemistry, and Organic Carbon Burial at Mississippi Canyon 118: A Deep-sea Site on the Northern Gulf of Mexico Slope Containing a Gas-Hydrate and Cold-Seep Field: Doctor of Philosophy Thesis, Department of Marine Sciences, University of North Carolina at Chapel Hill, </w:t>
      </w:r>
      <w:r w:rsidR="0012604F">
        <w:rPr>
          <w:rFonts w:cstheme="minorHAnsi"/>
          <w:color w:val="000000" w:themeColor="text1"/>
          <w:sz w:val="24"/>
          <w:szCs w:val="24"/>
        </w:rPr>
        <w:t xml:space="preserve">North Carolina, USA, </w:t>
      </w:r>
      <w:r w:rsidRPr="008B088A">
        <w:rPr>
          <w:rFonts w:cstheme="minorHAnsi"/>
          <w:color w:val="000000" w:themeColor="text1"/>
          <w:sz w:val="24"/>
          <w:szCs w:val="24"/>
        </w:rPr>
        <w:t xml:space="preserve">202 pp. 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r w:rsidRPr="008B088A">
        <w:rPr>
          <w:rFonts w:cstheme="minorHAnsi"/>
          <w:color w:val="000000" w:themeColor="text1"/>
          <w:sz w:val="24"/>
          <w:szCs w:val="24"/>
        </w:rPr>
        <w:t>Ingram, W.C., Meyers, S.R., Brunner, C.A., and Martens, C.S. 2010, Late Pleistocene–Holocene sedimentation surrounding an active seaﬂoor gas-hydrate and cold-seep ﬁeld on the Northern Gulf of Mexico Slope: Marine Geology, v. 278, p. 43–53.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r w:rsidRPr="008B088A">
        <w:rPr>
          <w:rFonts w:cstheme="minorHAnsi"/>
          <w:color w:val="000000" w:themeColor="text1"/>
          <w:sz w:val="24"/>
          <w:szCs w:val="24"/>
        </w:rPr>
        <w:t xml:space="preserve">Jaramillo, S.,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Sheremet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 xml:space="preserve">, A., Allison, M.A., Reed, A.H., and Holland, K.T. 2009, Wave-mud interactions over the muddy Atchafalaya subaqueous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clinoform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 xml:space="preserve">, Louisiana, United States: Wave-supported sediment transport: Journal of Geophysical Research, v. 114, p. C04002,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doi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>: 10.1029/2008JC004821.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r w:rsidRPr="008B088A">
        <w:rPr>
          <w:rFonts w:cstheme="minorHAnsi"/>
          <w:color w:val="000000" w:themeColor="text1"/>
          <w:sz w:val="24"/>
          <w:szCs w:val="24"/>
        </w:rPr>
        <w:t>Jarvis, J.C. 2010, Vertical Accretion Rates in Coastal Louisiana: A Review of the Scientific Literature: United States Army Engineer Research and Development Center</w:t>
      </w:r>
      <w:r w:rsidR="0012604F">
        <w:rPr>
          <w:rFonts w:cstheme="minorHAnsi"/>
          <w:color w:val="000000" w:themeColor="text1"/>
          <w:sz w:val="24"/>
          <w:szCs w:val="24"/>
        </w:rPr>
        <w:t xml:space="preserve"> report </w:t>
      </w:r>
      <w:r w:rsidR="0012604F" w:rsidRPr="0012604F">
        <w:rPr>
          <w:rFonts w:cstheme="minorHAnsi"/>
          <w:color w:val="000000" w:themeColor="text1"/>
          <w:sz w:val="24"/>
          <w:szCs w:val="24"/>
        </w:rPr>
        <w:t>ERDC/ELTN-10-5</w:t>
      </w:r>
      <w:r w:rsidR="0012604F">
        <w:rPr>
          <w:rFonts w:cstheme="minorHAnsi"/>
          <w:color w:val="000000" w:themeColor="text1"/>
          <w:sz w:val="24"/>
          <w:szCs w:val="24"/>
        </w:rPr>
        <w:t>,</w:t>
      </w:r>
      <w:r w:rsidRPr="008B088A">
        <w:rPr>
          <w:rFonts w:cstheme="minorHAnsi"/>
          <w:color w:val="000000" w:themeColor="text1"/>
          <w:sz w:val="24"/>
          <w:szCs w:val="24"/>
        </w:rPr>
        <w:t xml:space="preserve"> Vicksburg, </w:t>
      </w:r>
      <w:r>
        <w:rPr>
          <w:rFonts w:cstheme="minorHAnsi"/>
          <w:color w:val="000000" w:themeColor="text1"/>
          <w:sz w:val="24"/>
          <w:szCs w:val="24"/>
        </w:rPr>
        <w:t>Mississippi</w:t>
      </w:r>
      <w:r w:rsidRPr="008B088A">
        <w:rPr>
          <w:rFonts w:cstheme="minorHAnsi"/>
          <w:color w:val="000000" w:themeColor="text1"/>
          <w:sz w:val="24"/>
          <w:szCs w:val="24"/>
        </w:rPr>
        <w:t>, USA, 15 pp.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r w:rsidRPr="008B088A">
        <w:rPr>
          <w:rFonts w:cstheme="minorHAnsi"/>
          <w:color w:val="000000" w:themeColor="text1"/>
          <w:sz w:val="24"/>
          <w:szCs w:val="24"/>
        </w:rPr>
        <w:lastRenderedPageBreak/>
        <w:t xml:space="preserve">Keller, G., Bentley, S.J., Georgiou, I.Y., Maloney, J., Miner, M.D., and Xu, K. 2016, River-plume sedimentation and </w:t>
      </w:r>
      <w:r w:rsidRPr="008B088A">
        <w:rPr>
          <w:rFonts w:cstheme="minorHAnsi"/>
          <w:color w:val="000000" w:themeColor="text1"/>
          <w:sz w:val="24"/>
          <w:szCs w:val="24"/>
          <w:vertAlign w:val="superscript"/>
        </w:rPr>
        <w:t>210</w:t>
      </w:r>
      <w:r w:rsidRPr="008B088A">
        <w:rPr>
          <w:rFonts w:cstheme="minorHAnsi"/>
          <w:color w:val="000000" w:themeColor="text1"/>
          <w:sz w:val="24"/>
          <w:szCs w:val="24"/>
        </w:rPr>
        <w:t>Pb/</w:t>
      </w:r>
      <w:r w:rsidRPr="008B088A">
        <w:rPr>
          <w:rFonts w:cstheme="minorHAnsi"/>
          <w:color w:val="000000" w:themeColor="text1"/>
          <w:sz w:val="24"/>
          <w:szCs w:val="24"/>
          <w:vertAlign w:val="superscript"/>
        </w:rPr>
        <w:t>7</w:t>
      </w:r>
      <w:r w:rsidRPr="008B088A">
        <w:rPr>
          <w:rFonts w:cstheme="minorHAnsi"/>
          <w:color w:val="000000" w:themeColor="text1"/>
          <w:sz w:val="24"/>
          <w:szCs w:val="24"/>
        </w:rPr>
        <w:t xml:space="preserve">Be seabed delivery on the Mississippi River delta front: Geo-Marine Letters,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doi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>: 10.1007/s00367-016-0476-0.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Kolker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 xml:space="preserve">, A.S., Allison, M.A., and Marcantonio, F. 2010, Spatial and Temporal Variability in Sediment Accumulation Rates in Barataria Bay and the Development of a Regional Subsidence Map: Coastal Restoration and Enhancement through Science and Technology (CREST) Final Technical Report, 10 pp. Louisiana State University, </w:t>
      </w:r>
      <w:r>
        <w:rPr>
          <w:rFonts w:cstheme="minorHAnsi"/>
          <w:color w:val="000000" w:themeColor="text1"/>
          <w:sz w:val="24"/>
          <w:szCs w:val="24"/>
        </w:rPr>
        <w:t>Louisiana, USA</w:t>
      </w:r>
      <w:r w:rsidRPr="008B088A">
        <w:rPr>
          <w:rFonts w:cstheme="minorHAnsi"/>
          <w:color w:val="000000" w:themeColor="text1"/>
          <w:sz w:val="24"/>
          <w:szCs w:val="24"/>
        </w:rPr>
        <w:t>.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Kolker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>, A.S., Miner, M.D., and Weathers, H.D. 2012, Depositional dynamics in a river diversion receiving basin. The case of the West Bay Mississippi River Diversion: Estuarine, Coastal and Shelf Science, v. 106, p. 1-12.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Mitra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 xml:space="preserve">, S.,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Lalicata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 xml:space="preserve">, J.J., Allison, M.A., and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Dellapenna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>, T.M. 2009, The effects of Hurricanes Katrina and Rita on seabed polycyclic aromatic hydrocarbon dynamics in the Gulf of Mexico: Marine Pollution Bulletin, v. 58, p. 851–857.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r w:rsidRPr="008B088A">
        <w:rPr>
          <w:rFonts w:cstheme="minorHAnsi"/>
          <w:color w:val="000000" w:themeColor="text1"/>
          <w:sz w:val="24"/>
          <w:szCs w:val="24"/>
        </w:rPr>
        <w:t>Morse, J.W., and Rowe, G.T. 1999, Benthic Biogeochemistry beneath the Mississippi River Plume: Estuaries, v. 22(2A), p. 206-214.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r w:rsidRPr="008B088A">
        <w:rPr>
          <w:rFonts w:cstheme="minorHAnsi"/>
          <w:color w:val="000000" w:themeColor="text1"/>
          <w:sz w:val="24"/>
          <w:szCs w:val="24"/>
        </w:rPr>
        <w:t>Neill, C.F., and Allison, M.A. 2005, Subaqueous deltaic formation on the Atchafalaya Shelf, Louisiana: Marine Geology, v. 214,</w:t>
      </w:r>
      <w:r>
        <w:rPr>
          <w:rFonts w:cstheme="minorHAnsi"/>
          <w:color w:val="000000" w:themeColor="text1"/>
          <w:sz w:val="24"/>
          <w:szCs w:val="24"/>
        </w:rPr>
        <w:t xml:space="preserve"> p.</w:t>
      </w:r>
      <w:r w:rsidRPr="008B088A">
        <w:rPr>
          <w:rFonts w:cstheme="minorHAnsi"/>
          <w:color w:val="000000" w:themeColor="text1"/>
          <w:sz w:val="24"/>
          <w:szCs w:val="24"/>
        </w:rPr>
        <w:t xml:space="preserve"> 411– 430. 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Oktay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 xml:space="preserve">, S.D.,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Santschi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 xml:space="preserve">, P.H., Moran, J.E., and Sharma, P. 2000, The </w:t>
      </w:r>
      <w:r w:rsidRPr="008B088A">
        <w:rPr>
          <w:rFonts w:cstheme="minorHAnsi"/>
          <w:color w:val="000000" w:themeColor="text1"/>
          <w:sz w:val="24"/>
          <w:szCs w:val="24"/>
          <w:vertAlign w:val="superscript"/>
        </w:rPr>
        <w:t>129</w:t>
      </w:r>
      <w:r w:rsidRPr="008B088A">
        <w:rPr>
          <w:rFonts w:cstheme="minorHAnsi"/>
          <w:color w:val="000000" w:themeColor="text1"/>
          <w:sz w:val="24"/>
          <w:szCs w:val="24"/>
        </w:rPr>
        <w:t xml:space="preserve">Iodine bomb pulse recorded in Mississippi River Delta sediments: Results from isotopes of I, Pu, Cs,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Pb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 xml:space="preserve">, and C: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Geochimica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 xml:space="preserve"> et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Cosmochimica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 xml:space="preserve"> Acta, v. 64(6), p. 989–996.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r w:rsidRPr="008B088A">
        <w:rPr>
          <w:rFonts w:cstheme="minorHAnsi"/>
          <w:color w:val="000000" w:themeColor="text1"/>
          <w:sz w:val="24"/>
          <w:szCs w:val="24"/>
        </w:rPr>
        <w:lastRenderedPageBreak/>
        <w:t xml:space="preserve">Osterman, L.E.,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Swarzenski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>, P.W., and Hollander, D. 2006, Biological, Physical, and Chemical Data from Gulf of Mexico Core PE0305-GC1: U.S. Geological Survey, U.S. Department of the Interior, Open-File Report 2006-1012, 28 pp.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r w:rsidRPr="008B088A">
        <w:rPr>
          <w:rFonts w:cstheme="minorHAnsi"/>
          <w:color w:val="000000" w:themeColor="text1"/>
          <w:sz w:val="24"/>
          <w:szCs w:val="24"/>
        </w:rPr>
        <w:t xml:space="preserve">Osterman, L.E., Campbell, P.L.,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Swarzenski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>, P.W., and Ricardo, J.P. 2007, Biological, Physical and Chemical Data From Gulf of Mexico Gravity and Box Core MRD05-04: U.S. Geological Survey, U.S. Department of the Interior, Open-File Report 2007-1024, 19 pp.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r w:rsidRPr="008B088A">
        <w:rPr>
          <w:rFonts w:cstheme="minorHAnsi"/>
          <w:color w:val="000000" w:themeColor="text1"/>
          <w:sz w:val="24"/>
          <w:szCs w:val="24"/>
        </w:rPr>
        <w:t xml:space="preserve">Osterman, L.E.,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Poore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 xml:space="preserve">, R.Z., and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Swarzenski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>, P.W. 2008, The last 1000 years of natural and anthropogenic low-oxygen bottom-water on the Louisiana shelf, Gulf of Mexico: Marine Micropaleontology, v. 66, p. 291–303.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r w:rsidRPr="008B088A">
        <w:rPr>
          <w:rFonts w:cstheme="minorHAnsi"/>
          <w:color w:val="000000" w:themeColor="text1"/>
          <w:sz w:val="24"/>
          <w:szCs w:val="24"/>
        </w:rPr>
        <w:t xml:space="preserve">Osterman, L.E.,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Poore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 xml:space="preserve">, R.Z.,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Swarzenski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 xml:space="preserve">, P.W., and Turner, R.E. 2005, Reconstructing a 180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yr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 xml:space="preserve"> record of natural and anthropogenic induced low-oxygen conditions from Louisiana continental shelf sediments: Geology, v. 33(4), p. 329–332;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doi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 xml:space="preserve">: 10.1130/G213. 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r w:rsidRPr="008B088A">
        <w:rPr>
          <w:rFonts w:cstheme="minorHAnsi"/>
          <w:color w:val="000000" w:themeColor="text1"/>
          <w:sz w:val="24"/>
          <w:szCs w:val="24"/>
        </w:rPr>
        <w:t xml:space="preserve">Presley, B.J.,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Trefry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 xml:space="preserve">, J.H., and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Shokes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 xml:space="preserve">, R.F. 1980, Heavy Metal Inputs to Mississippi Delta Sediments: A Historical View: Water, Air, and Soil Pollution, v. 13, p. 481--494. 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r w:rsidRPr="008B088A">
        <w:rPr>
          <w:rFonts w:cstheme="minorHAnsi"/>
          <w:color w:val="000000" w:themeColor="text1"/>
          <w:sz w:val="24"/>
          <w:szCs w:val="24"/>
        </w:rPr>
        <w:t xml:space="preserve">Romero, I.C., Schwing, P.T., Brooks, G.R., Larson, R.A., Hastings, D.W., Ellis, G., Goddard, E.A., and Hollander, D.J. 2015, Hydrocarbons in Deep-Sea Sediments following the 2010 Deepwater Horizon Blowout in the Northeast Gulf of Mexico: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PLoS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 xml:space="preserve"> ONE 10(5), p. e0128371.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doi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 xml:space="preserve">: 10.1371/journal.pone.0128371. 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Rotondo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>, K.A., and Bentley, S.J. 2003, Deposition and Resuspension of Fluid Mud on the Western Louisiana Inner Shelf: Gulf Coast Association of Geological Societies and the Gulf Coast Section of Society of Economic Paleontologists and Mineralogists (GCAGS/GCSSEPM) Transactions, v. 53, p. 722-731.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r w:rsidRPr="008B088A">
        <w:rPr>
          <w:rFonts w:cstheme="minorHAnsi"/>
          <w:color w:val="000000" w:themeColor="text1"/>
          <w:sz w:val="24"/>
          <w:szCs w:val="24"/>
        </w:rPr>
        <w:lastRenderedPageBreak/>
        <w:t xml:space="preserve">Rowe, G.T., and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Kennicutt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 xml:space="preserve"> II, M.C., eds., 2009, Northern Gulf of Mexico continental slope habitats and benthic ecology study: Final report. U.S. Dept. of the Interior, Minerals Management. Service, Gulf of Mexico OCS Region, New Orleans, LA. OCS Study MMS 2009-039, 456 pp.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Sampere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 xml:space="preserve">, T.P., Bianchi, T.S., and Allison, M.A. 2011, Historical changes in terrestrially derived organic carbon inputs to Louisiana continental margin sediments over the past 150 years: Journal of Geophysical Research, v. 116, p. G01016,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doi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>: 10.1029/2010JG001420.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Santschi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>, P.H., and Rowe, G.T. 2008, Radiocarbon-derived sedimentation rates in the Gulf of Mexico: Deep-Sea Research II, v. 55, p. 2572–2576.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r w:rsidRPr="008B088A">
        <w:rPr>
          <w:rFonts w:cstheme="minorHAnsi"/>
          <w:color w:val="000000" w:themeColor="text1"/>
          <w:sz w:val="24"/>
          <w:szCs w:val="24"/>
        </w:rPr>
        <w:t xml:space="preserve">Schlager, W., Marsal, D., van der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Geest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>, P. A. G., and Sprenger, A. 1998, Sedimentation Rates, Observation Span, and the Problem of Spurious Correlation: Mathematical Geology, v. 30(5), p. 547-556.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Shokes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>, R.F. 1976, Rate-dependent distributions of lead-210 and interstitial sulfate in sediments of the Mississippi River Delta: Technical Report 76-1-T, Department of Oceanography, Texas A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8B088A">
        <w:rPr>
          <w:rFonts w:cstheme="minorHAnsi"/>
          <w:color w:val="000000" w:themeColor="text1"/>
          <w:sz w:val="24"/>
          <w:szCs w:val="24"/>
        </w:rPr>
        <w:t>and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8B088A">
        <w:rPr>
          <w:rFonts w:cstheme="minorHAnsi"/>
          <w:color w:val="000000" w:themeColor="text1"/>
          <w:sz w:val="24"/>
          <w:szCs w:val="24"/>
        </w:rPr>
        <w:t>M University, 122 pp.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r w:rsidRPr="008B088A">
        <w:rPr>
          <w:rFonts w:cstheme="minorHAnsi"/>
          <w:color w:val="000000" w:themeColor="text1"/>
          <w:sz w:val="24"/>
          <w:szCs w:val="24"/>
        </w:rPr>
        <w:t>Smith, R.P. 2009, Historic Sediment Accretion Rates in a Louisiana Coastal Marsh and Implications for Sustainability: Master of Science Thesis, Louisiana State University and Agricultural and Mechanical College, May 2009, 69 pp.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Swarzenski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>, P.W., Baskaran, M., Rosenbauer, R.J., and Orem, W.H. 2006, Historical Trace Element Distribution in Sediments from the Mississippi River Delta: Estuaries and Coasts, v. 29(6B), p. 1094–1107.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lastRenderedPageBreak/>
        <w:t>Swarzenski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 xml:space="preserve">, P.W., Campbell, P.L., Osterman, L.E., and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Poore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>, R.Z. 2008, A 1000-year sediment record of recurring hypoxia off the Mississippi River: The potential role of terrestrially-derived organic matter inputs: Marine Chemistry, v. 109, p. 130–142.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r w:rsidRPr="008B088A">
        <w:rPr>
          <w:rFonts w:cstheme="minorHAnsi"/>
          <w:color w:val="000000" w:themeColor="text1"/>
          <w:sz w:val="24"/>
          <w:szCs w:val="24"/>
        </w:rPr>
        <w:t xml:space="preserve">Tichenor, H.R., Culver, S.J., Corbett, D.R., Walsh, J.P., and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Buzas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>, M.A. 2016, Does the PEB Index Respond only to Hypoxia in the Mississippi Delta, Gulf of Mexico ?: Journal of Foraminiferal Research, v. 46(1), p. 48–60.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Trefry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 xml:space="preserve"> III, J.H. 1977, The Transport of Heavy Metals by the Mississippi River and their Fate in the Gulf Of Mexico: Ph.D. Dissertation, Graduate College of Texas Agriculture and Mechanical (A &amp; M) University, May 1977, 223 p.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Trefry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 xml:space="preserve">, J.H., Nelsen, T.A.,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Trocine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>, R.P., Metz, S., and Vetter, T.W. 1986</w:t>
      </w:r>
      <w:r>
        <w:rPr>
          <w:rFonts w:cstheme="minorHAnsi"/>
          <w:color w:val="000000" w:themeColor="text1"/>
          <w:sz w:val="24"/>
          <w:szCs w:val="24"/>
        </w:rPr>
        <w:t>,</w:t>
      </w:r>
      <w:r w:rsidRPr="008B088A">
        <w:rPr>
          <w:rFonts w:cstheme="minorHAnsi"/>
          <w:color w:val="000000" w:themeColor="text1"/>
          <w:sz w:val="24"/>
          <w:szCs w:val="24"/>
        </w:rPr>
        <w:t xml:space="preserve"> Trace metal fluxes through the Mississippi River Delta system: Rapports et procès-verbaux des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réunions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 xml:space="preserve"> - Conseil permanent international pour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l'exploration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 xml:space="preserve"> de la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mer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>, v. 186, p. 277-288.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r w:rsidRPr="008B088A">
        <w:rPr>
          <w:rFonts w:cstheme="minorHAnsi"/>
          <w:color w:val="000000" w:themeColor="text1"/>
          <w:sz w:val="24"/>
          <w:szCs w:val="24"/>
        </w:rPr>
        <w:t xml:space="preserve">Turner, R.E., Overton, E.B.,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Rabalais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>, N.N., and Sen Gupta, B.K., eds., 2003, Historical reconstruction of the contaminant loading and biological responses in the Central Gulf of Mexico shelf sediments: U.S. Dept. of the Interior, Minerals Management Service, Gulf of Mexico Offshore Continental Shelf (OCS) Region, New Orleans, LA. Offshore Continental Shelf (OCS) Study MMS 2003-063, 140 pp.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Velardo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>, B. 2005, Detailed Geochronology of the Mississippi Sound During the Late Holocene: Master of Science Thesis, Department of Oceanography and Coastal Sciences, Louisiana State University and Agricultural and Mechanical College, 95 pp.</w:t>
      </w:r>
    </w:p>
    <w:p w:rsidR="00927215" w:rsidRPr="008B088A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r w:rsidRPr="008B088A">
        <w:rPr>
          <w:rFonts w:cstheme="minorHAnsi"/>
          <w:color w:val="000000" w:themeColor="text1"/>
          <w:sz w:val="24"/>
          <w:szCs w:val="24"/>
        </w:rPr>
        <w:lastRenderedPageBreak/>
        <w:t>Waterson, E.J. 2005, Sources of Sedimentary Organic Matter in the Mississippi River and Adjacent Gulf of Mexico: Degree of Masters of Science Thesis, Faculty of the School of Marine Science, College of William and Mary in Virginia, 109 pp.</w:t>
      </w:r>
    </w:p>
    <w:p w:rsidR="00927215" w:rsidRPr="00927215" w:rsidRDefault="00927215" w:rsidP="00927215">
      <w:pPr>
        <w:spacing w:after="0" w:line="480" w:lineRule="auto"/>
        <w:ind w:left="360" w:hanging="360"/>
        <w:rPr>
          <w:rFonts w:cstheme="minorHAnsi"/>
          <w:color w:val="000000" w:themeColor="text1"/>
          <w:sz w:val="24"/>
          <w:szCs w:val="24"/>
        </w:rPr>
      </w:pPr>
      <w:r w:rsidRPr="008B088A">
        <w:rPr>
          <w:rFonts w:cstheme="minorHAnsi"/>
          <w:color w:val="000000" w:themeColor="text1"/>
          <w:sz w:val="24"/>
          <w:szCs w:val="24"/>
        </w:rPr>
        <w:t xml:space="preserve">Yeager, K.M., </w:t>
      </w:r>
      <w:proofErr w:type="spellStart"/>
      <w:r w:rsidRPr="008B088A">
        <w:rPr>
          <w:rFonts w:cstheme="minorHAnsi"/>
          <w:color w:val="000000" w:themeColor="text1"/>
          <w:sz w:val="24"/>
          <w:szCs w:val="24"/>
        </w:rPr>
        <w:t>Santschi</w:t>
      </w:r>
      <w:proofErr w:type="spellEnd"/>
      <w:r w:rsidRPr="008B088A">
        <w:rPr>
          <w:rFonts w:cstheme="minorHAnsi"/>
          <w:color w:val="000000" w:themeColor="text1"/>
          <w:sz w:val="24"/>
          <w:szCs w:val="24"/>
        </w:rPr>
        <w:t>, P.H., and Rowe, G.T. 2004, Sediment accumulation and radionuclide inventories (</w:t>
      </w:r>
      <w:r w:rsidRPr="008B088A">
        <w:rPr>
          <w:rFonts w:cstheme="minorHAnsi"/>
          <w:color w:val="000000" w:themeColor="text1"/>
          <w:sz w:val="24"/>
          <w:szCs w:val="24"/>
          <w:vertAlign w:val="superscript"/>
        </w:rPr>
        <w:t>239,240</w:t>
      </w:r>
      <w:r w:rsidRPr="008B088A">
        <w:rPr>
          <w:rFonts w:cstheme="minorHAnsi"/>
          <w:color w:val="000000" w:themeColor="text1"/>
          <w:sz w:val="24"/>
          <w:szCs w:val="24"/>
        </w:rPr>
        <w:t xml:space="preserve">Pu, </w:t>
      </w:r>
      <w:r w:rsidRPr="008B088A">
        <w:rPr>
          <w:rFonts w:cstheme="minorHAnsi"/>
          <w:color w:val="000000" w:themeColor="text1"/>
          <w:sz w:val="24"/>
          <w:szCs w:val="24"/>
          <w:vertAlign w:val="superscript"/>
        </w:rPr>
        <w:t>210</w:t>
      </w:r>
      <w:r w:rsidRPr="008B088A">
        <w:rPr>
          <w:rFonts w:cstheme="minorHAnsi"/>
          <w:color w:val="000000" w:themeColor="text1"/>
          <w:sz w:val="24"/>
          <w:szCs w:val="24"/>
        </w:rPr>
        <w:t xml:space="preserve">Pb and </w:t>
      </w:r>
      <w:r w:rsidRPr="008B088A">
        <w:rPr>
          <w:rFonts w:cstheme="minorHAnsi"/>
          <w:color w:val="000000" w:themeColor="text1"/>
          <w:sz w:val="24"/>
          <w:szCs w:val="24"/>
          <w:vertAlign w:val="superscript"/>
        </w:rPr>
        <w:t>234</w:t>
      </w:r>
      <w:r w:rsidRPr="008B088A">
        <w:rPr>
          <w:rFonts w:cstheme="minorHAnsi"/>
          <w:color w:val="000000" w:themeColor="text1"/>
          <w:sz w:val="24"/>
          <w:szCs w:val="24"/>
        </w:rPr>
        <w:t>Th) in the northern Gulf of Mexico, as influenced by organic matter and macrofaunal density: Marine Chemistry, v. 91, p. 1–14.</w:t>
      </w:r>
      <w:r w:rsidRPr="00D330E8">
        <w:rPr>
          <w:rFonts w:cstheme="minorHAnsi"/>
          <w:color w:val="000000" w:themeColor="text1"/>
          <w:sz w:val="24"/>
          <w:szCs w:val="24"/>
        </w:rPr>
        <w:t xml:space="preserve"> </w:t>
      </w:r>
    </w:p>
    <w:sectPr w:rsidR="00927215" w:rsidRPr="00927215" w:rsidSect="00032C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215"/>
    <w:rsid w:val="00027DBB"/>
    <w:rsid w:val="00032CD2"/>
    <w:rsid w:val="000762C7"/>
    <w:rsid w:val="0012604F"/>
    <w:rsid w:val="0013215B"/>
    <w:rsid w:val="00283DDC"/>
    <w:rsid w:val="00311D5F"/>
    <w:rsid w:val="005E4EF4"/>
    <w:rsid w:val="00721348"/>
    <w:rsid w:val="008E5E2B"/>
    <w:rsid w:val="00927215"/>
    <w:rsid w:val="00A35A76"/>
    <w:rsid w:val="00C14A22"/>
    <w:rsid w:val="00DC52D4"/>
    <w:rsid w:val="00E12967"/>
    <w:rsid w:val="00EF6C9F"/>
    <w:rsid w:val="00FB694D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9716C9-894D-4ACC-A0CE-93E6358C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721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DD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E5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dc.noaa.gov/archive/arc0031/0069470/1.1/data/0-data/Executive%20Summary%20Volume.pdf" TargetMode="External"/><Relationship Id="rId5" Type="http://schemas.openxmlformats.org/officeDocument/2006/relationships/hyperlink" Target="http://aquila.usm.edu/masters_theses/19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2524</Words>
  <Characters>14389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jenkins</dc:creator>
  <cp:keywords/>
  <dc:description/>
  <cp:lastModifiedBy>Coco Lemon Pie</cp:lastModifiedBy>
  <cp:revision>2</cp:revision>
  <cp:lastPrinted>2018-01-22T03:03:00Z</cp:lastPrinted>
  <dcterms:created xsi:type="dcterms:W3CDTF">2018-03-02T21:30:00Z</dcterms:created>
  <dcterms:modified xsi:type="dcterms:W3CDTF">2018-03-02T21:30:00Z</dcterms:modified>
</cp:coreProperties>
</file>